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89712" w14:textId="347B590A"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97bis</w:t>
      </w:r>
      <w:r w:rsidRPr="00CE0424">
        <w:tab/>
      </w:r>
      <w:r w:rsidRPr="00CE0424">
        <w:rPr>
          <w:sz w:val="32"/>
          <w:szCs w:val="32"/>
        </w:rPr>
        <w:t xml:space="preserve">Tdoc </w:t>
      </w:r>
      <w:r w:rsidR="00091557" w:rsidRPr="00CE0424">
        <w:rPr>
          <w:sz w:val="32"/>
          <w:szCs w:val="32"/>
        </w:rPr>
        <w:t>R2-</w:t>
      </w:r>
      <w:r w:rsidR="005F3025" w:rsidRPr="00091F37">
        <w:rPr>
          <w:sz w:val="32"/>
          <w:szCs w:val="32"/>
        </w:rPr>
        <w:t>1</w:t>
      </w:r>
      <w:r w:rsidR="000039F4" w:rsidRPr="00091F37">
        <w:rPr>
          <w:sz w:val="32"/>
          <w:szCs w:val="32"/>
        </w:rPr>
        <w:t>7</w:t>
      </w:r>
      <w:r w:rsidR="009A05DD" w:rsidRPr="00383AD8">
        <w:rPr>
          <w:sz w:val="32"/>
          <w:szCs w:val="32"/>
        </w:rPr>
        <w:t>02797</w:t>
      </w:r>
    </w:p>
    <w:p w14:paraId="5D18802E" w14:textId="7607904D" w:rsidR="00E90E49" w:rsidRPr="00CE0424" w:rsidRDefault="00AE3743" w:rsidP="00311702">
      <w:pPr>
        <w:pStyle w:val="3GPPHeader"/>
      </w:pPr>
      <w:r>
        <w:t>Spokane, USA, 3</w:t>
      </w:r>
      <w:r w:rsidRPr="00AE3743">
        <w:rPr>
          <w:vertAlign w:val="superscript"/>
        </w:rPr>
        <w:t>rd</w:t>
      </w:r>
      <w:r>
        <w:t xml:space="preserve"> – 7</w:t>
      </w:r>
      <w:r w:rsidRPr="00AE3743">
        <w:rPr>
          <w:vertAlign w:val="superscript"/>
        </w:rPr>
        <w:t>th</w:t>
      </w:r>
      <w:r>
        <w:t xml:space="preserve"> April 2017</w:t>
      </w:r>
    </w:p>
    <w:p w14:paraId="0FFA3B1B" w14:textId="77777777" w:rsidR="00E90E49" w:rsidRPr="00CE0424" w:rsidRDefault="00E90E49" w:rsidP="00357380">
      <w:pPr>
        <w:pStyle w:val="3GPPHeader"/>
      </w:pPr>
    </w:p>
    <w:p w14:paraId="0DBA3ED9" w14:textId="6FAB8D0E" w:rsidR="00E90E49" w:rsidRPr="00383AD8" w:rsidRDefault="00E90E49" w:rsidP="00311702">
      <w:pPr>
        <w:pStyle w:val="3GPPHeader"/>
        <w:rPr>
          <w:sz w:val="22"/>
          <w:szCs w:val="22"/>
          <w:lang w:val="en-US"/>
        </w:rPr>
      </w:pPr>
      <w:r w:rsidRPr="00383AD8">
        <w:rPr>
          <w:sz w:val="22"/>
          <w:szCs w:val="22"/>
          <w:lang w:val="en-US"/>
        </w:rPr>
        <w:t>Agenda Item:</w:t>
      </w:r>
      <w:r w:rsidRPr="00383AD8">
        <w:rPr>
          <w:sz w:val="22"/>
          <w:szCs w:val="22"/>
          <w:lang w:val="en-US"/>
        </w:rPr>
        <w:tab/>
      </w:r>
      <w:r w:rsidR="00580089" w:rsidRPr="00383AD8">
        <w:rPr>
          <w:sz w:val="22"/>
          <w:szCs w:val="22"/>
          <w:lang w:val="en-US"/>
        </w:rPr>
        <w:t>10.4.1.3</w:t>
      </w:r>
    </w:p>
    <w:p w14:paraId="3D09BB9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96F3307" w14:textId="10EA97E3" w:rsidR="00E90E49" w:rsidRPr="00CE0424" w:rsidRDefault="003D3C45" w:rsidP="00311702">
      <w:pPr>
        <w:pStyle w:val="3GPPHeader"/>
        <w:rPr>
          <w:sz w:val="22"/>
          <w:szCs w:val="22"/>
        </w:rPr>
      </w:pPr>
      <w:r>
        <w:rPr>
          <w:sz w:val="22"/>
          <w:szCs w:val="22"/>
        </w:rPr>
        <w:t>Title:</w:t>
      </w:r>
      <w:r w:rsidR="00E90E49" w:rsidRPr="00CE0424">
        <w:rPr>
          <w:sz w:val="22"/>
          <w:szCs w:val="22"/>
        </w:rPr>
        <w:tab/>
      </w:r>
      <w:r w:rsidR="00940796">
        <w:rPr>
          <w:sz w:val="22"/>
          <w:szCs w:val="22"/>
        </w:rPr>
        <w:t>Determination of serving</w:t>
      </w:r>
      <w:r w:rsidR="002831F9">
        <w:rPr>
          <w:sz w:val="22"/>
          <w:szCs w:val="22"/>
        </w:rPr>
        <w:t xml:space="preserve"> </w:t>
      </w:r>
      <w:r w:rsidR="00940796">
        <w:rPr>
          <w:sz w:val="22"/>
          <w:szCs w:val="22"/>
        </w:rPr>
        <w:t>cell quality</w:t>
      </w:r>
      <w:r w:rsidR="009A05DD">
        <w:rPr>
          <w:sz w:val="22"/>
          <w:szCs w:val="22"/>
        </w:rPr>
        <w:t xml:space="preserve"> in NR</w:t>
      </w:r>
    </w:p>
    <w:p w14:paraId="7A0567D6"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A11690">
        <w:rPr>
          <w:sz w:val="22"/>
          <w:szCs w:val="22"/>
        </w:rPr>
        <w:t>Discussion, Decision</w:t>
      </w:r>
    </w:p>
    <w:p w14:paraId="3C6D63D8" w14:textId="77777777" w:rsidR="00E90E49" w:rsidRPr="00CE0424" w:rsidRDefault="00E90E49" w:rsidP="00E90E49"/>
    <w:p w14:paraId="4B9C2CE9" w14:textId="77777777" w:rsidR="00E90E49" w:rsidRPr="00CE0424" w:rsidRDefault="00E90E49" w:rsidP="00CE0424">
      <w:pPr>
        <w:pStyle w:val="Heading1"/>
      </w:pPr>
      <w:r w:rsidRPr="00CE0424">
        <w:t>Introduction</w:t>
      </w:r>
    </w:p>
    <w:p w14:paraId="4173BF82" w14:textId="51FB0396" w:rsidR="00477768" w:rsidRDefault="005B591A" w:rsidP="00CE0424">
      <w:pPr>
        <w:pStyle w:val="BodyText"/>
      </w:pPr>
      <w:r>
        <w:t>In R</w:t>
      </w:r>
      <w:r w:rsidR="008F045E">
        <w:t>AN2#97, the following agreement</w:t>
      </w:r>
      <w:r>
        <w:t xml:space="preserve"> </w:t>
      </w:r>
      <w:r w:rsidR="008F045E">
        <w:t xml:space="preserve">was </w:t>
      </w:r>
      <w:r>
        <w:t>made</w:t>
      </w:r>
      <w:r w:rsidR="008F045E" w:rsidRPr="00CE0424">
        <w:t xml:space="preserve"> </w:t>
      </w:r>
      <w:r w:rsidR="008F045E" w:rsidRPr="00CE0424">
        <w:fldChar w:fldCharType="begin"/>
      </w:r>
      <w:r w:rsidR="008F045E" w:rsidRPr="00CE0424">
        <w:instrText xml:space="preserve"> REF _Ref189809556 \r \h </w:instrText>
      </w:r>
      <w:r w:rsidR="008F045E" w:rsidRPr="00CE0424">
        <w:fldChar w:fldCharType="separate"/>
      </w:r>
      <w:r w:rsidR="008F045E">
        <w:t>[1]</w:t>
      </w:r>
      <w:r w:rsidR="008F045E" w:rsidRPr="00CE0424">
        <w:fldChar w:fldCharType="end"/>
      </w:r>
      <w:r>
        <w:t>:</w:t>
      </w:r>
    </w:p>
    <w:p w14:paraId="604AF5C6" w14:textId="77777777" w:rsidR="008F045E" w:rsidRPr="00DC6CA4" w:rsidRDefault="008F045E" w:rsidP="008F045E">
      <w:pPr>
        <w:pStyle w:val="Doc-text2"/>
        <w:pBdr>
          <w:top w:val="single" w:sz="4" w:space="1" w:color="auto"/>
          <w:left w:val="single" w:sz="4" w:space="4" w:color="auto"/>
          <w:bottom w:val="single" w:sz="4" w:space="1" w:color="auto"/>
          <w:right w:val="single" w:sz="4" w:space="4" w:color="auto"/>
        </w:pBdr>
      </w:pPr>
      <w:r w:rsidRPr="00DC6CA4">
        <w:t>Agreement</w:t>
      </w:r>
    </w:p>
    <w:p w14:paraId="36C39EF9" w14:textId="77777777" w:rsidR="008F045E" w:rsidRPr="00DC6CA4" w:rsidRDefault="008F045E" w:rsidP="008F045E">
      <w:pPr>
        <w:pStyle w:val="Doc-text2"/>
        <w:pBdr>
          <w:top w:val="single" w:sz="4" w:space="1" w:color="auto"/>
          <w:left w:val="single" w:sz="4" w:space="4" w:color="auto"/>
          <w:bottom w:val="single" w:sz="4" w:space="1" w:color="auto"/>
          <w:right w:val="single" w:sz="4" w:space="4" w:color="auto"/>
        </w:pBdr>
      </w:pPr>
      <w:r w:rsidRPr="00DC6CA4">
        <w:t>1</w:t>
      </w:r>
      <w:r w:rsidRPr="00DC6CA4">
        <w:tab/>
        <w:t xml:space="preserve">Cell quality can be derived from N best beams where value of N can be configured to 1 or more than 1. </w:t>
      </w:r>
    </w:p>
    <w:p w14:paraId="09B67B78" w14:textId="77777777" w:rsidR="008F045E" w:rsidRPr="00DC6CA4" w:rsidRDefault="008F045E" w:rsidP="008F045E">
      <w:pPr>
        <w:pStyle w:val="Doc-text2"/>
        <w:pBdr>
          <w:top w:val="single" w:sz="4" w:space="1" w:color="auto"/>
          <w:left w:val="single" w:sz="4" w:space="4" w:color="auto"/>
          <w:bottom w:val="single" w:sz="4" w:space="1" w:color="auto"/>
          <w:right w:val="single" w:sz="4" w:space="4" w:color="auto"/>
        </w:pBdr>
      </w:pPr>
      <w:r w:rsidRPr="00DC6CA4">
        <w:t>FFS: Details of filtering to be applied</w:t>
      </w:r>
    </w:p>
    <w:p w14:paraId="38AB693C" w14:textId="77777777" w:rsidR="008F045E" w:rsidRPr="00DC6CA4" w:rsidRDefault="008F045E" w:rsidP="008F045E">
      <w:pPr>
        <w:pStyle w:val="Doc-text2"/>
        <w:pBdr>
          <w:top w:val="single" w:sz="4" w:space="1" w:color="auto"/>
          <w:left w:val="single" w:sz="4" w:space="4" w:color="auto"/>
          <w:bottom w:val="single" w:sz="4" w:space="1" w:color="auto"/>
          <w:right w:val="single" w:sz="4" w:space="4" w:color="auto"/>
        </w:pBdr>
      </w:pPr>
      <w:r w:rsidRPr="003044B5">
        <w:t>FFS: How the quality of the serving cell is determined (e.g. from serving beam only or cell quality)</w:t>
      </w:r>
    </w:p>
    <w:p w14:paraId="22F0F6F2" w14:textId="77777777" w:rsidR="008F045E" w:rsidRPr="00DC6CA4" w:rsidRDefault="008F045E" w:rsidP="008F045E">
      <w:pPr>
        <w:pStyle w:val="Doc-text2"/>
        <w:pBdr>
          <w:top w:val="single" w:sz="4" w:space="1" w:color="auto"/>
          <w:left w:val="single" w:sz="4" w:space="4" w:color="auto"/>
          <w:bottom w:val="single" w:sz="4" w:space="1" w:color="auto"/>
          <w:right w:val="single" w:sz="4" w:space="4" w:color="auto"/>
        </w:pBdr>
      </w:pPr>
      <w:r w:rsidRPr="00DC6CA4">
        <w:t>FFS: Whether the agreement applies to both additional RS and idle RS.</w:t>
      </w:r>
    </w:p>
    <w:p w14:paraId="113E54B8" w14:textId="77777777" w:rsidR="008F045E" w:rsidRPr="00DC6CA4" w:rsidRDefault="008F045E" w:rsidP="008F045E">
      <w:pPr>
        <w:pStyle w:val="Doc-text2"/>
        <w:pBdr>
          <w:top w:val="single" w:sz="4" w:space="1" w:color="auto"/>
          <w:left w:val="single" w:sz="4" w:space="4" w:color="auto"/>
          <w:bottom w:val="single" w:sz="4" w:space="1" w:color="auto"/>
          <w:right w:val="single" w:sz="4" w:space="4" w:color="auto"/>
        </w:pBdr>
      </w:pPr>
      <w:r w:rsidRPr="00DC6CA4">
        <w:t>FFS: Whether to only consider beams above a threshold ('good' beams)</w:t>
      </w:r>
    </w:p>
    <w:p w14:paraId="71AFA8AC" w14:textId="77777777" w:rsidR="008F045E" w:rsidRDefault="008F045E" w:rsidP="00CE0424">
      <w:pPr>
        <w:pStyle w:val="BodyText"/>
      </w:pPr>
    </w:p>
    <w:p w14:paraId="094257D7" w14:textId="44E9C00D" w:rsidR="0030508D" w:rsidRDefault="0030508D" w:rsidP="00B10D3A">
      <w:pPr>
        <w:pStyle w:val="BodyText"/>
      </w:pPr>
      <w:r>
        <w:t xml:space="preserve">The agreement indicates that in deployments where beamforming is used, a single cell-level quality value (e.g. RSRP) will be determined </w:t>
      </w:r>
      <w:r w:rsidR="006A2C4A">
        <w:t xml:space="preserve">for RRM measurements, </w:t>
      </w:r>
      <w:r>
        <w:t>based on measurement results from a configurable number of beams</w:t>
      </w:r>
      <w:r w:rsidR="00107F2D">
        <w:t xml:space="preserve"> per carrier frequency</w:t>
      </w:r>
      <w:r>
        <w:t xml:space="preserve">. </w:t>
      </w:r>
      <w:r w:rsidR="003E3232">
        <w:t xml:space="preserve">This implies an additional step </w:t>
      </w:r>
      <w:r w:rsidR="002A4A3A">
        <w:t xml:space="preserve">in NR </w:t>
      </w:r>
      <w:r w:rsidR="003E3232">
        <w:t xml:space="preserve">compared to </w:t>
      </w:r>
      <w:r w:rsidR="002A4A3A">
        <w:t xml:space="preserve">the </w:t>
      </w:r>
      <w:r w:rsidR="003E3232">
        <w:t>LTE</w:t>
      </w:r>
      <w:r w:rsidR="002A4A3A">
        <w:t xml:space="preserve"> measurement model</w:t>
      </w:r>
      <w:r w:rsidR="003E3232">
        <w:t xml:space="preserve">, since individual beam measurements might have to be combined to </w:t>
      </w:r>
      <w:r w:rsidR="002A4A3A">
        <w:t xml:space="preserve">a </w:t>
      </w:r>
      <w:r w:rsidR="003E3232">
        <w:t>single cell quality value.</w:t>
      </w:r>
    </w:p>
    <w:p w14:paraId="30DD4E20" w14:textId="22470912" w:rsidR="0030508D" w:rsidRDefault="0030508D" w:rsidP="00B10D3A">
      <w:pPr>
        <w:pStyle w:val="BodyText"/>
      </w:pPr>
      <w:r>
        <w:t xml:space="preserve">In this paper we discuss how the quality of the serving cell should be determined </w:t>
      </w:r>
      <w:r w:rsidR="006A2C4A">
        <w:t>(</w:t>
      </w:r>
      <w:r>
        <w:t>e.g. from serving beam only or cell quality)</w:t>
      </w:r>
      <w:r w:rsidR="00C117B8">
        <w:t xml:space="preserve"> and present simulation results</w:t>
      </w:r>
      <w:r>
        <w:t>. In a companion contribution we discuss the details of the NR measurement model and propose how cell quality</w:t>
      </w:r>
      <w:r w:rsidR="003E3232">
        <w:t xml:space="preserve"> derivation and</w:t>
      </w:r>
      <w:r>
        <w:t xml:space="preserve"> filtering should be performed </w:t>
      </w:r>
      <w:r w:rsidR="00C117B8">
        <w:t>at UE</w:t>
      </w:r>
      <w:r w:rsidR="006A2C4A" w:rsidRPr="006A2C4A">
        <w:t xml:space="preserve"> </w:t>
      </w:r>
      <w:r w:rsidR="006A2C4A" w:rsidRPr="00CE0424">
        <w:fldChar w:fldCharType="begin"/>
      </w:r>
      <w:r w:rsidR="006A2C4A" w:rsidRPr="00CE0424">
        <w:instrText xml:space="preserve"> REF _Ref189809556 \r \h </w:instrText>
      </w:r>
      <w:r w:rsidR="006A2C4A" w:rsidRPr="00CE0424">
        <w:fldChar w:fldCharType="separate"/>
      </w:r>
      <w:r w:rsidR="006A2C4A">
        <w:t>[</w:t>
      </w:r>
      <w:r w:rsidR="009A05DD">
        <w:t>2</w:t>
      </w:r>
      <w:r w:rsidR="006A2C4A">
        <w:t>]</w:t>
      </w:r>
      <w:r w:rsidR="006A2C4A" w:rsidRPr="00CE0424">
        <w:fldChar w:fldCharType="end"/>
      </w:r>
      <w:r>
        <w:t>.</w:t>
      </w:r>
    </w:p>
    <w:p w14:paraId="3FDBEEB9" w14:textId="62372F05" w:rsidR="00642274" w:rsidRPr="00642274" w:rsidRDefault="004000E8" w:rsidP="00642274">
      <w:pPr>
        <w:pStyle w:val="Heading1"/>
      </w:pPr>
      <w:bookmarkStart w:id="0" w:name="_Ref178064866"/>
      <w:r w:rsidRPr="00CE0424">
        <w:t>Discussion</w:t>
      </w:r>
      <w:bookmarkEnd w:id="0"/>
    </w:p>
    <w:p w14:paraId="63A794C5" w14:textId="262EC7C7" w:rsidR="00CA5642" w:rsidRDefault="00B73A5C" w:rsidP="00BF6BCE">
      <w:pPr>
        <w:pStyle w:val="BodyText"/>
      </w:pPr>
      <w:r>
        <w:t xml:space="preserve">For taking the decision if a handover should be executed, the quality of the serving cell has to be compared to that of neighbour cells. </w:t>
      </w:r>
      <w:r w:rsidR="00CA5642">
        <w:t xml:space="preserve">A priori it is not obvious that the quality of the serving cell should be derived in the same way as that of the potential target cells. This is because the situation is inherently asymmetric: For a potential target cell with more than one beam, </w:t>
      </w:r>
      <w:r w:rsidR="00C711B3">
        <w:t xml:space="preserve">it is uncertain </w:t>
      </w:r>
      <w:r w:rsidR="00CA5642">
        <w:t xml:space="preserve">which of these beams will serve the UE </w:t>
      </w:r>
      <w:r w:rsidR="00010926">
        <w:t>after a</w:t>
      </w:r>
      <w:r w:rsidR="00CA5642">
        <w:t xml:space="preserve"> handover </w:t>
      </w:r>
      <w:r w:rsidR="00010926">
        <w:t>is completed and the UE is attached to the target</w:t>
      </w:r>
      <w:r w:rsidR="00CA5642">
        <w:t xml:space="preserve">. It might thus be advantageous to consider several potential serving beams in determining the cell quality of that cell. </w:t>
      </w:r>
      <w:r w:rsidR="00A578E7">
        <w:t xml:space="preserve">(See </w:t>
      </w:r>
      <w:r w:rsidR="00A578E7" w:rsidRPr="00CE0424">
        <w:fldChar w:fldCharType="begin"/>
      </w:r>
      <w:r w:rsidR="00A578E7" w:rsidRPr="00CE0424">
        <w:instrText xml:space="preserve"> REF _Ref189809556 \r \h </w:instrText>
      </w:r>
      <w:r w:rsidR="00A578E7" w:rsidRPr="00CE0424">
        <w:fldChar w:fldCharType="separate"/>
      </w:r>
      <w:r w:rsidR="00A578E7">
        <w:t>[2]</w:t>
      </w:r>
      <w:r w:rsidR="00A578E7" w:rsidRPr="00CE0424">
        <w:fldChar w:fldCharType="end"/>
      </w:r>
      <w:r w:rsidR="00A578E7">
        <w:t xml:space="preserve"> for a more detailed discussion </w:t>
      </w:r>
      <w:r w:rsidR="007B6DAE">
        <w:t xml:space="preserve">on measurement model and </w:t>
      </w:r>
      <w:r w:rsidR="00A578E7">
        <w:t xml:space="preserve">cell quality </w:t>
      </w:r>
      <w:r w:rsidR="007B6DAE">
        <w:t>derivation</w:t>
      </w:r>
      <w:r w:rsidR="00A578E7">
        <w:t xml:space="preserve">.) </w:t>
      </w:r>
      <w:r w:rsidR="00CA5642">
        <w:t xml:space="preserve">For the serving </w:t>
      </w:r>
      <w:r w:rsidR="007B6DAE">
        <w:t xml:space="preserve">node, </w:t>
      </w:r>
      <w:r w:rsidR="00CA5642">
        <w:t xml:space="preserve">on the other hand, </w:t>
      </w:r>
      <w:r w:rsidR="007B6DAE">
        <w:t xml:space="preserve">the cell quality can be determined by either the serving beam or a cell-level quality </w:t>
      </w:r>
      <w:r w:rsidR="00BF6BCE">
        <w:t xml:space="preserve">based on multiple beams, e.g., ‘N best beams’. The UE is expected to be served by one source beam at a time, however, it is also likely that the serving beam of the UE may be switched to a different source beam by the network over time as the ‘best source beam’ detected by UE changes. On one hand, it is true that UE is served by one source beam (i.e., possibly the ‘best beam’) at a time. On the other hand, it is unclear how frequently the source node will switch the UE to a different serving beam as long as the UE stays attached to the source. </w:t>
      </w:r>
      <w:r w:rsidR="00CA5642">
        <w:t>Figure 1 illustrates this situation.</w:t>
      </w:r>
    </w:p>
    <w:p w14:paraId="08681C89" w14:textId="13B0BFAB" w:rsidR="007442B8" w:rsidRDefault="007442B8" w:rsidP="00026B13">
      <w:pPr>
        <w:pStyle w:val="BodyText"/>
      </w:pPr>
    </w:p>
    <w:p w14:paraId="15C4995B" w14:textId="3F18C5A7" w:rsidR="00ED4C22" w:rsidRPr="00CE0424" w:rsidRDefault="00ED4C22" w:rsidP="00ED4C22">
      <w:pPr>
        <w:pStyle w:val="Figure"/>
      </w:pPr>
      <w:r>
        <w:rPr>
          <w:noProof/>
          <w:lang w:val="en-US" w:eastAsia="en-US"/>
        </w:rPr>
        <w:lastRenderedPageBreak/>
        <w:drawing>
          <wp:inline distT="0" distB="0" distL="0" distR="0" wp14:anchorId="34637315" wp14:editId="2EE418D3">
            <wp:extent cx="5349468" cy="1945766"/>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eams.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352685" cy="1946936"/>
                    </a:xfrm>
                    <a:prstGeom prst="rect">
                      <a:avLst/>
                    </a:prstGeom>
                  </pic:spPr>
                </pic:pic>
              </a:graphicData>
            </a:graphic>
          </wp:inline>
        </w:drawing>
      </w:r>
    </w:p>
    <w:p w14:paraId="323BF7AD" w14:textId="36B95BAC" w:rsidR="00ED4C22" w:rsidRPr="00CE0424" w:rsidRDefault="00ED4C22" w:rsidP="00ED4C22">
      <w:pPr>
        <w:pStyle w:val="Caption"/>
      </w:pPr>
      <w:r w:rsidRPr="00CE0424">
        <w:t xml:space="preserve">Figure </w:t>
      </w:r>
      <w:r w:rsidRPr="00CE0424">
        <w:fldChar w:fldCharType="begin"/>
      </w:r>
      <w:r w:rsidRPr="00CE0424">
        <w:instrText xml:space="preserve"> SEQ Figure \* ARABIC </w:instrText>
      </w:r>
      <w:r w:rsidRPr="00CE0424">
        <w:fldChar w:fldCharType="separate"/>
      </w:r>
      <w:r>
        <w:rPr>
          <w:noProof/>
        </w:rPr>
        <w:t>1</w:t>
      </w:r>
      <w:r w:rsidRPr="00CE0424">
        <w:fldChar w:fldCharType="end"/>
      </w:r>
      <w:r w:rsidRPr="00CE0424">
        <w:t xml:space="preserve">: </w:t>
      </w:r>
      <w:r>
        <w:t xml:space="preserve">A UE with its serving beam </w:t>
      </w:r>
      <w:r w:rsidR="00BA3EB5">
        <w:t>moving towards</w:t>
      </w:r>
      <w:r>
        <w:t xml:space="preserve"> several potential target cells.</w:t>
      </w:r>
    </w:p>
    <w:p w14:paraId="7F3557C1" w14:textId="1E9351E5" w:rsidR="00B10D3A" w:rsidRDefault="00B10D3A" w:rsidP="00CE0424">
      <w:pPr>
        <w:pStyle w:val="BodyText"/>
      </w:pPr>
      <w:r>
        <w:t>In this paper</w:t>
      </w:r>
      <w:r w:rsidR="006A2C4A">
        <w:t>,</w:t>
      </w:r>
      <w:r>
        <w:t xml:space="preserve"> we study </w:t>
      </w:r>
      <w:r w:rsidR="00E25CE0">
        <w:t xml:space="preserve">the following </w:t>
      </w:r>
      <w:r>
        <w:t>three different options for th</w:t>
      </w:r>
      <w:r w:rsidR="00B73A5C">
        <w:t>e</w:t>
      </w:r>
      <w:r>
        <w:t xml:space="preserve"> comparison</w:t>
      </w:r>
      <w:r w:rsidR="00B73A5C">
        <w:t xml:space="preserve"> of serving and target cell</w:t>
      </w:r>
      <w:r w:rsidR="00E25CE0">
        <w:t xml:space="preserve"> and present simulative evaluation results</w:t>
      </w:r>
      <w:r>
        <w:t>:</w:t>
      </w:r>
    </w:p>
    <w:p w14:paraId="07DF307F" w14:textId="030B185F" w:rsidR="00B10D3A" w:rsidRDefault="00B10D3A" w:rsidP="00B10D3A">
      <w:pPr>
        <w:pStyle w:val="BodyText"/>
        <w:numPr>
          <w:ilvl w:val="0"/>
          <w:numId w:val="16"/>
        </w:numPr>
      </w:pPr>
      <w:r>
        <w:t xml:space="preserve">Option 1: </w:t>
      </w:r>
      <w:r w:rsidR="00F3257B">
        <w:t>the quality of both serving and target cell is defined by the strongest beam only.</w:t>
      </w:r>
    </w:p>
    <w:p w14:paraId="2AAEBF31" w14:textId="25AB2BF0" w:rsidR="00F3257B" w:rsidRDefault="00F3257B" w:rsidP="00B10D3A">
      <w:pPr>
        <w:pStyle w:val="BodyText"/>
        <w:numPr>
          <w:ilvl w:val="0"/>
          <w:numId w:val="16"/>
        </w:numPr>
      </w:pPr>
      <w:r>
        <w:t>Option 2: the quality of both serving and target cell is determined by averaging the 4 strongest beams.</w:t>
      </w:r>
    </w:p>
    <w:p w14:paraId="6A56F9FD" w14:textId="66311A9C" w:rsidR="00F3257B" w:rsidRDefault="00F3257B" w:rsidP="00B10D3A">
      <w:pPr>
        <w:pStyle w:val="BodyText"/>
        <w:numPr>
          <w:ilvl w:val="0"/>
          <w:numId w:val="16"/>
        </w:numPr>
      </w:pPr>
      <w:r>
        <w:t>Option 3: the quality of the serving cell is defined by the strongest beam only, but the quality of the target cell is determined by averaging the 4 strongest beams.</w:t>
      </w:r>
    </w:p>
    <w:p w14:paraId="66D4F1B6" w14:textId="26095A6D" w:rsidR="00F3257B" w:rsidRDefault="00F3257B" w:rsidP="00F3257B">
      <w:r>
        <w:t>A full list of simulation parameters is presented in Appendix A.</w:t>
      </w:r>
    </w:p>
    <w:p w14:paraId="4C6ABA36" w14:textId="66AB3CF3" w:rsidR="00F3257B" w:rsidRDefault="00F3257B" w:rsidP="00F3257B">
      <w:r>
        <w:t xml:space="preserve">As in </w:t>
      </w:r>
      <w:r w:rsidR="006E1EAE">
        <w:t xml:space="preserve">other </w:t>
      </w:r>
      <w:r>
        <w:t>contribution</w:t>
      </w:r>
      <w:r w:rsidR="006E1EAE">
        <w:t>s</w:t>
      </w:r>
      <w:r>
        <w:t xml:space="preserve"> </w:t>
      </w:r>
      <w:r w:rsidRPr="00CE0424">
        <w:fldChar w:fldCharType="begin"/>
      </w:r>
      <w:r w:rsidRPr="00CE0424">
        <w:instrText xml:space="preserve"> REF _Ref189809556 \r \h </w:instrText>
      </w:r>
      <w:r w:rsidRPr="00CE0424">
        <w:fldChar w:fldCharType="separate"/>
      </w:r>
      <w:r>
        <w:t>[</w:t>
      </w:r>
      <w:r w:rsidR="006A2C4A">
        <w:t>3</w:t>
      </w:r>
      <w:r w:rsidR="006E1EAE">
        <w:t>,</w:t>
      </w:r>
      <w:r w:rsidRPr="00CE0424">
        <w:fldChar w:fldCharType="end"/>
      </w:r>
      <w:r w:rsidR="006E1EAE" w:rsidRPr="00CE0424">
        <w:fldChar w:fldCharType="begin"/>
      </w:r>
      <w:r w:rsidR="006E1EAE" w:rsidRPr="00CE0424">
        <w:instrText xml:space="preserve"> REF _Ref189809556 \r \h </w:instrText>
      </w:r>
      <w:r w:rsidR="006E1EAE" w:rsidRPr="00CE0424">
        <w:fldChar w:fldCharType="separate"/>
      </w:r>
      <w:r w:rsidR="006E1EAE">
        <w:t>4]</w:t>
      </w:r>
      <w:r w:rsidR="006E1EAE" w:rsidRPr="00CE0424">
        <w:fldChar w:fldCharType="end"/>
      </w:r>
      <w:r>
        <w:t xml:space="preserve">, we evaluate mobility performance in terms of ping-pong rate and handover failure rate. Ping-pong </w:t>
      </w:r>
      <w:r w:rsidR="00107F2D">
        <w:t xml:space="preserve">handovers may occur, for example, </w:t>
      </w:r>
      <w:r>
        <w:t xml:space="preserve">when the handover is triggered too early, so that the UE upon arrival in the target cell realizes that the old source cell has still higher quality, and immediately goes back (X </w:t>
      </w:r>
      <w:r>
        <w:sym w:font="Wingdings" w:char="F0E0"/>
      </w:r>
      <w:r>
        <w:t xml:space="preserve"> Y </w:t>
      </w:r>
      <w:r>
        <w:sym w:font="Wingdings" w:char="F0E0"/>
      </w:r>
      <w:r>
        <w:t xml:space="preserve"> X, where X and Y refer to different cells). The ping-pong rate is evaluated by counting the number of ping-pong occurrences within one second, divided by the total number of (successful and unsuccessful) handover events:</w:t>
      </w:r>
    </w:p>
    <w:p w14:paraId="1D4DA04F" w14:textId="08178A8F" w:rsidR="00F3257B" w:rsidRDefault="008117AC" w:rsidP="00F3257B">
      <m:oMathPara>
        <m:oMath>
          <m:sSub>
            <m:sSubPr>
              <m:ctrlPr>
                <w:rPr>
                  <w:rFonts w:ascii="Cambria Math" w:hAnsi="Cambria Math"/>
                </w:rPr>
              </m:ctrlPr>
            </m:sSubPr>
            <m:e>
              <m:r>
                <m:rPr>
                  <m:sty m:val="p"/>
                </m:rPr>
                <w:rPr>
                  <w:rFonts w:ascii="Cambria Math" w:hAnsi="Cambria Math"/>
                </w:rPr>
                <m:t>P</m:t>
              </m:r>
            </m:e>
            <m:sub>
              <m:r>
                <w:rPr>
                  <w:rFonts w:ascii="Cambria Math" w:hAnsi="Cambria Math"/>
                </w:rPr>
                <m:t>PP</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PP</m:t>
                  </m:r>
                </m:sub>
              </m:sSub>
            </m:num>
            <m:den>
              <m:sSub>
                <m:sSubPr>
                  <m:ctrlPr>
                    <w:rPr>
                      <w:rFonts w:ascii="Cambria Math" w:hAnsi="Cambria Math"/>
                      <w:i/>
                    </w:rPr>
                  </m:ctrlPr>
                </m:sSubPr>
                <m:e>
                  <m:r>
                    <w:rPr>
                      <w:rFonts w:ascii="Cambria Math" w:hAnsi="Cambria Math"/>
                    </w:rPr>
                    <m:t>N</m:t>
                  </m:r>
                </m:e>
                <m:sub>
                  <m:r>
                    <w:rPr>
                      <w:rFonts w:ascii="Cambria Math" w:hAnsi="Cambria Math"/>
                    </w:rPr>
                    <m:t xml:space="preserve">HO_success </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HO_fail</m:t>
                  </m:r>
                </m:sub>
              </m:sSub>
            </m:den>
          </m:f>
        </m:oMath>
      </m:oMathPara>
    </w:p>
    <w:p w14:paraId="460BBF88" w14:textId="5A5A0AB5" w:rsidR="00F3257B" w:rsidRDefault="00F3257B" w:rsidP="00F3257B">
      <w:r>
        <w:t xml:space="preserve">where </w:t>
      </w:r>
      <m:oMath>
        <m:sSub>
          <m:sSubPr>
            <m:ctrlPr>
              <w:rPr>
                <w:rFonts w:ascii="Cambria Math" w:hAnsi="Cambria Math"/>
                <w:i/>
              </w:rPr>
            </m:ctrlPr>
          </m:sSubPr>
          <m:e>
            <m:r>
              <w:rPr>
                <w:rFonts w:ascii="Cambria Math" w:hAnsi="Cambria Math"/>
              </w:rPr>
              <m:t>N</m:t>
            </m:r>
          </m:e>
          <m:sub>
            <m:r>
              <w:rPr>
                <w:rFonts w:ascii="Cambria Math" w:hAnsi="Cambria Math"/>
              </w:rPr>
              <m:t>PP</m:t>
            </m:r>
          </m:sub>
        </m:sSub>
      </m:oMath>
      <w:r>
        <w:t xml:space="preserve"> is the number of ping-pong occurrences, </w:t>
      </w:r>
      <m:oMath>
        <m:sSub>
          <m:sSubPr>
            <m:ctrlPr>
              <w:rPr>
                <w:rFonts w:ascii="Cambria Math" w:hAnsi="Cambria Math"/>
                <w:i/>
              </w:rPr>
            </m:ctrlPr>
          </m:sSubPr>
          <m:e>
            <m:r>
              <w:rPr>
                <w:rFonts w:ascii="Cambria Math" w:hAnsi="Cambria Math"/>
              </w:rPr>
              <m:t>N</m:t>
            </m:r>
          </m:e>
          <m:sub>
            <m:r>
              <w:rPr>
                <w:rFonts w:ascii="Cambria Math" w:hAnsi="Cambria Math"/>
              </w:rPr>
              <m:t xml:space="preserve">HO_success </m:t>
            </m:r>
          </m:sub>
        </m:sSub>
      </m:oMath>
      <w:r>
        <w:t xml:space="preserve">is the number of successful handovers, and </w:t>
      </w:r>
      <m:oMath>
        <m:sSub>
          <m:sSubPr>
            <m:ctrlPr>
              <w:rPr>
                <w:rFonts w:ascii="Cambria Math" w:hAnsi="Cambria Math"/>
                <w:i/>
              </w:rPr>
            </m:ctrlPr>
          </m:sSubPr>
          <m:e>
            <m:r>
              <w:rPr>
                <w:rFonts w:ascii="Cambria Math" w:hAnsi="Cambria Math"/>
              </w:rPr>
              <m:t>N</m:t>
            </m:r>
          </m:e>
          <m:sub>
            <m:r>
              <w:rPr>
                <w:rFonts w:ascii="Cambria Math" w:hAnsi="Cambria Math"/>
              </w:rPr>
              <m:t>HO_fail</m:t>
            </m:r>
          </m:sub>
        </m:sSub>
      </m:oMath>
      <w:r>
        <w:t xml:space="preserve"> is the number of failed handovers. Simulation results are shown in the left panel of Figure 1.</w:t>
      </w:r>
    </w:p>
    <w:p w14:paraId="40B5C699" w14:textId="6320961F" w:rsidR="00F3257B" w:rsidRDefault="00F3257B" w:rsidP="00F3257B">
      <w:r>
        <w:t xml:space="preserve">A handover failure, on the other hand, might occur if the handover decision is delayed too much, or if the quality of the target cell drops too much before the handover can be completed. In this paper we determine handover failure </w:t>
      </w:r>
      <w:r w:rsidR="009963C1">
        <w:t xml:space="preserve">rates </w:t>
      </w:r>
      <w:r>
        <w:t xml:space="preserve">by comparing the </w:t>
      </w:r>
      <w:r w:rsidR="009963C1">
        <w:t xml:space="preserve">measured </w:t>
      </w:r>
      <w:r>
        <w:t>RSRP of the target cell to a cell detection threshold during the duration of TTT. If the measured RSRP falls below the threshold, it is assumed that the target cell can no longer be detected, and hence a handover failure is registered. Throughout this study, we assume a TTT of 100 ms. The handover failure rate is given by the ratio of the number of failed handover</w:t>
      </w:r>
      <w:r w:rsidR="009963C1">
        <w:t>s</w:t>
      </w:r>
      <w:r>
        <w:t xml:space="preserve"> to the total number of handover </w:t>
      </w:r>
      <w:r w:rsidR="009963C1">
        <w:t>attempts (i.e., both successful and unsuccessful)</w:t>
      </w:r>
      <w:r>
        <w:t>:</w:t>
      </w:r>
    </w:p>
    <w:p w14:paraId="1890BCEB" w14:textId="77777777" w:rsidR="00F3257B" w:rsidRDefault="008117AC" w:rsidP="00F3257B">
      <m:oMathPara>
        <m:oMath>
          <m:sSub>
            <m:sSubPr>
              <m:ctrlPr>
                <w:rPr>
                  <w:rFonts w:ascii="Cambria Math" w:hAnsi="Cambria Math"/>
                </w:rPr>
              </m:ctrlPr>
            </m:sSubPr>
            <m:e>
              <m:r>
                <m:rPr>
                  <m:sty m:val="p"/>
                </m:rPr>
                <w:rPr>
                  <w:rFonts w:ascii="Cambria Math" w:hAnsi="Cambria Math"/>
                </w:rPr>
                <m:t>P</m:t>
              </m:r>
            </m:e>
            <m:sub>
              <m:r>
                <w:rPr>
                  <w:rFonts w:ascii="Cambria Math" w:hAnsi="Cambria Math"/>
                </w:rPr>
                <m:t>HO_fail</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HO_fail</m:t>
                  </m:r>
                </m:sub>
              </m:sSub>
            </m:num>
            <m:den>
              <m:sSub>
                <m:sSubPr>
                  <m:ctrlPr>
                    <w:rPr>
                      <w:rFonts w:ascii="Cambria Math" w:hAnsi="Cambria Math"/>
                      <w:i/>
                    </w:rPr>
                  </m:ctrlPr>
                </m:sSubPr>
                <m:e>
                  <m:r>
                    <w:rPr>
                      <w:rFonts w:ascii="Cambria Math" w:hAnsi="Cambria Math"/>
                    </w:rPr>
                    <m:t>N</m:t>
                  </m:r>
                </m:e>
                <m:sub>
                  <m:r>
                    <w:rPr>
                      <w:rFonts w:ascii="Cambria Math" w:hAnsi="Cambria Math"/>
                    </w:rPr>
                    <m:t xml:space="preserve">HO_success </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HO_fail</m:t>
                  </m:r>
                </m:sub>
              </m:sSub>
            </m:den>
          </m:f>
        </m:oMath>
      </m:oMathPara>
    </w:p>
    <w:p w14:paraId="007917BE" w14:textId="2751071D" w:rsidR="00F3257B" w:rsidRDefault="00F3257B" w:rsidP="00F3257B">
      <w:r>
        <w:t xml:space="preserve">where </w:t>
      </w:r>
      <m:oMath>
        <m:sSub>
          <m:sSubPr>
            <m:ctrlPr>
              <w:rPr>
                <w:rFonts w:ascii="Cambria Math" w:hAnsi="Cambria Math"/>
                <w:i/>
              </w:rPr>
            </m:ctrlPr>
          </m:sSubPr>
          <m:e>
            <m:r>
              <w:rPr>
                <w:rFonts w:ascii="Cambria Math" w:hAnsi="Cambria Math"/>
              </w:rPr>
              <m:t>N</m:t>
            </m:r>
          </m:e>
          <m:sub>
            <m:r>
              <w:rPr>
                <w:rFonts w:ascii="Cambria Math" w:hAnsi="Cambria Math"/>
              </w:rPr>
              <m:t xml:space="preserve">HO_success </m:t>
            </m:r>
          </m:sub>
        </m:sSub>
      </m:oMath>
      <w:r>
        <w:t xml:space="preserve">is the number of successful handovers, and </w:t>
      </w:r>
      <m:oMath>
        <m:sSub>
          <m:sSubPr>
            <m:ctrlPr>
              <w:rPr>
                <w:rFonts w:ascii="Cambria Math" w:hAnsi="Cambria Math"/>
                <w:i/>
              </w:rPr>
            </m:ctrlPr>
          </m:sSubPr>
          <m:e>
            <m:r>
              <w:rPr>
                <w:rFonts w:ascii="Cambria Math" w:hAnsi="Cambria Math"/>
              </w:rPr>
              <m:t>N</m:t>
            </m:r>
          </m:e>
          <m:sub>
            <m:r>
              <w:rPr>
                <w:rFonts w:ascii="Cambria Math" w:hAnsi="Cambria Math"/>
              </w:rPr>
              <m:t>HO_fail</m:t>
            </m:r>
          </m:sub>
        </m:sSub>
      </m:oMath>
      <w:r>
        <w:t xml:space="preserve"> the number of failed handovers. Simulation results are shown in the right panel of Figure </w:t>
      </w:r>
      <w:r w:rsidR="00ED4C22">
        <w:t>2</w:t>
      </w:r>
      <w:r>
        <w:t>.</w:t>
      </w:r>
    </w:p>
    <w:p w14:paraId="4A178F0B" w14:textId="615AB953" w:rsidR="003742AC" w:rsidRPr="00CE0424" w:rsidRDefault="00B10D3A" w:rsidP="003742AC">
      <w:pPr>
        <w:pStyle w:val="Figure"/>
      </w:pPr>
      <w:r>
        <w:rPr>
          <w:noProof/>
          <w:lang w:val="en-US" w:eastAsia="en-US"/>
        </w:rPr>
        <w:lastRenderedPageBreak/>
        <w:drawing>
          <wp:inline distT="0" distB="0" distL="0" distR="0" wp14:anchorId="6D79E6F0" wp14:editId="35C87739">
            <wp:extent cx="6120765" cy="218630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mbined.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0765" cy="2186305"/>
                    </a:xfrm>
                    <a:prstGeom prst="rect">
                      <a:avLst/>
                    </a:prstGeom>
                  </pic:spPr>
                </pic:pic>
              </a:graphicData>
            </a:graphic>
          </wp:inline>
        </w:drawing>
      </w:r>
    </w:p>
    <w:p w14:paraId="04D76CB2" w14:textId="7D416F70" w:rsidR="003742AC" w:rsidRPr="00CE0424" w:rsidRDefault="003742AC" w:rsidP="003742AC">
      <w:pPr>
        <w:pStyle w:val="Caption"/>
      </w:pPr>
      <w:r w:rsidRPr="00CE0424">
        <w:t xml:space="preserve">Figure </w:t>
      </w:r>
      <w:r w:rsidR="00ED4C22">
        <w:t>2</w:t>
      </w:r>
      <w:r w:rsidRPr="00CE0424">
        <w:t xml:space="preserve">: </w:t>
      </w:r>
      <w:r w:rsidR="00F3257B">
        <w:t xml:space="preserve">Ping-pong and handover failure rates for </w:t>
      </w:r>
      <w:r w:rsidR="006B1C6E">
        <w:t xml:space="preserve">various </w:t>
      </w:r>
      <w:r w:rsidR="00F3257B">
        <w:t>methods for the derivation of cell quality in serving and target cells.</w:t>
      </w:r>
    </w:p>
    <w:p w14:paraId="6A518B33" w14:textId="0F0E5DB4" w:rsidR="00B25DDF" w:rsidRDefault="00807E8E" w:rsidP="00CE0424">
      <w:pPr>
        <w:pStyle w:val="BodyText"/>
      </w:pPr>
      <w:r>
        <w:t xml:space="preserve">The </w:t>
      </w:r>
      <w:r w:rsidR="00645381">
        <w:t xml:space="preserve">presented </w:t>
      </w:r>
      <w:r>
        <w:t xml:space="preserve">results for the first two options </w:t>
      </w:r>
      <w:r w:rsidR="00D81A57">
        <w:t>a</w:t>
      </w:r>
      <w:r w:rsidR="00B30ECC">
        <w:t xml:space="preserve">re </w:t>
      </w:r>
      <w:r w:rsidR="00145DAD">
        <w:t>in consistency</w:t>
      </w:r>
      <w:r w:rsidR="00D81A57">
        <w:t xml:space="preserve"> with</w:t>
      </w:r>
      <w:r>
        <w:t xml:space="preserve"> </w:t>
      </w:r>
      <w:r w:rsidR="00645381">
        <w:t xml:space="preserve">the </w:t>
      </w:r>
      <w:r w:rsidR="00D81A57">
        <w:t xml:space="preserve">results </w:t>
      </w:r>
      <w:r>
        <w:t>pr</w:t>
      </w:r>
      <w:r w:rsidR="00940499">
        <w:t xml:space="preserve">esented in another </w:t>
      </w:r>
      <w:r w:rsidR="00D81A57">
        <w:t xml:space="preserve">contribution </w:t>
      </w:r>
      <w:r w:rsidR="00940499">
        <w:t>entitled “</w:t>
      </w:r>
      <w:r w:rsidR="00940499" w:rsidRPr="00807E8E">
        <w:t>Mobility performance in heterogeneous networks</w:t>
      </w:r>
      <w:r w:rsidR="00940499">
        <w:t xml:space="preserve">”, </w:t>
      </w:r>
      <w:r>
        <w:t xml:space="preserve">even though the simulation parameters are somewhat different: averaging </w:t>
      </w:r>
      <w:r w:rsidR="004D0256">
        <w:t xml:space="preserve">more beams </w:t>
      </w:r>
      <w:r>
        <w:t xml:space="preserve">leads to better ping-pong performance, but more handover failures. The performance of the third option (“different”), where the quality of the strongest beam from the serving cell is compared to the average of the 4 strongest beams from the target cell, is approximately the same </w:t>
      </w:r>
      <w:r w:rsidR="004D0256">
        <w:t>as that of option 2, where the averaging is done for both serving and target cells. The third option seems to perform slightly better in terms of HOF rate, but the differences are not significant.</w:t>
      </w:r>
    </w:p>
    <w:p w14:paraId="3ED040D9" w14:textId="0EC00AFE" w:rsidR="00C24B74" w:rsidRDefault="001E7704" w:rsidP="00B25DDF">
      <w:pPr>
        <w:pStyle w:val="Observation"/>
      </w:pPr>
      <w:bookmarkStart w:id="1" w:name="_Toc478125260"/>
      <w:bookmarkStart w:id="2" w:name="_Toc478125274"/>
      <w:bookmarkStart w:id="3" w:name="_Toc478114721"/>
      <w:bookmarkStart w:id="4" w:name="_Toc478125261"/>
      <w:bookmarkStart w:id="5" w:name="_Toc478125275"/>
      <w:bookmarkStart w:id="6" w:name="_Toc478131269"/>
      <w:bookmarkEnd w:id="1"/>
      <w:bookmarkEnd w:id="2"/>
      <w:r>
        <w:t>Using different methods</w:t>
      </w:r>
      <w:r w:rsidR="00F373F5">
        <w:t xml:space="preserve"> for determining the cell quality value</w:t>
      </w:r>
      <w:r>
        <w:t xml:space="preserve"> in serving and target cells does not seem to be </w:t>
      </w:r>
      <w:r w:rsidR="008324EE">
        <w:t xml:space="preserve">a </w:t>
      </w:r>
      <w:r>
        <w:t>viable way of breaking the balance between handover failures and ping-pong occurrences.</w:t>
      </w:r>
      <w:bookmarkEnd w:id="3"/>
      <w:bookmarkEnd w:id="4"/>
      <w:bookmarkEnd w:id="5"/>
      <w:bookmarkEnd w:id="6"/>
    </w:p>
    <w:p w14:paraId="31B2A052" w14:textId="0177FED6" w:rsidR="00F3257B" w:rsidRPr="00107F2D" w:rsidRDefault="00B25DDF" w:rsidP="00CE0424">
      <w:pPr>
        <w:pStyle w:val="Observation"/>
      </w:pPr>
      <w:bookmarkStart w:id="7" w:name="_Toc478131270"/>
      <w:r>
        <w:t xml:space="preserve">So far, results are not </w:t>
      </w:r>
      <w:r w:rsidR="00107F2D">
        <w:t xml:space="preserve">conclusive to </w:t>
      </w:r>
      <w:r>
        <w:t>decide how the quality of the serving cell should be determined.</w:t>
      </w:r>
      <w:bookmarkStart w:id="8" w:name="_Toc478114568"/>
      <w:bookmarkEnd w:id="7"/>
      <w:bookmarkEnd w:id="8"/>
    </w:p>
    <w:p w14:paraId="522CD7E3" w14:textId="77777777" w:rsidR="00C01F33" w:rsidRPr="00CE0424" w:rsidRDefault="00C01F33" w:rsidP="00CE0424">
      <w:pPr>
        <w:pStyle w:val="Heading1"/>
      </w:pPr>
      <w:r w:rsidRPr="00CE0424">
        <w:t>Conclusion</w:t>
      </w:r>
    </w:p>
    <w:p w14:paraId="6C24F64D" w14:textId="77777777" w:rsidR="0015202B" w:rsidRPr="0015202B" w:rsidRDefault="004D0256">
      <w:pPr>
        <w:pStyle w:val="TOC1"/>
        <w:rPr>
          <w:b w:val="0"/>
        </w:rPr>
      </w:pPr>
      <w:r w:rsidRPr="0015202B">
        <w:rPr>
          <w:b w:val="0"/>
        </w:rPr>
        <w:t>W</w:t>
      </w:r>
      <w:r w:rsidR="008E065E" w:rsidRPr="0015202B">
        <w:rPr>
          <w:b w:val="0"/>
        </w:rPr>
        <w:t xml:space="preserve">e </w:t>
      </w:r>
      <w:r w:rsidRPr="0015202B">
        <w:rPr>
          <w:b w:val="0"/>
        </w:rPr>
        <w:t>made the following observation</w:t>
      </w:r>
      <w:r w:rsidR="008E065E" w:rsidRPr="0015202B">
        <w:rPr>
          <w:b w:val="0"/>
        </w:rPr>
        <w:t>:</w:t>
      </w:r>
    </w:p>
    <w:p w14:paraId="60688B6E" w14:textId="3D278EC8" w:rsidR="00B25DDF" w:rsidRDefault="008E065E" w:rsidP="00107F2D">
      <w:pPr>
        <w:pStyle w:val="TOC1"/>
      </w:pPr>
      <w:r>
        <w:rPr>
          <w:b w:val="0"/>
          <w:bCs/>
        </w:rPr>
        <w:fldChar w:fldCharType="begin"/>
      </w:r>
      <w:r>
        <w:rPr>
          <w:bCs/>
        </w:rPr>
        <w:instrText xml:space="preserve"> TOC \f \n \t "Observation;1" </w:instrText>
      </w:r>
      <w:r>
        <w:rPr>
          <w:b w:val="0"/>
          <w:bCs/>
        </w:rPr>
        <w:fldChar w:fldCharType="separate"/>
      </w:r>
    </w:p>
    <w:p w14:paraId="1C0117BA" w14:textId="77777777" w:rsidR="00107F2D" w:rsidRPr="00107F2D" w:rsidRDefault="00107F2D" w:rsidP="00107F2D">
      <w:pPr>
        <w:pStyle w:val="TOC1"/>
        <w:rPr>
          <w:rFonts w:asciiTheme="minorHAnsi" w:eastAsiaTheme="minorEastAsia" w:hAnsiTheme="minorHAnsi" w:cstheme="minorBidi"/>
          <w:sz w:val="22"/>
          <w:lang w:eastAsia="sv-SE"/>
        </w:rPr>
      </w:pPr>
      <w:r w:rsidRPr="00107F2D">
        <w:rPr>
          <w:rFonts w:asciiTheme="minorHAnsi" w:eastAsiaTheme="minorEastAsia" w:hAnsiTheme="minorHAnsi" w:cstheme="minorBidi"/>
          <w:sz w:val="22"/>
          <w:lang w:eastAsia="sv-SE"/>
        </w:rPr>
        <w:t>Observation 1</w:t>
      </w:r>
      <w:r w:rsidRPr="00107F2D">
        <w:rPr>
          <w:rFonts w:asciiTheme="minorHAnsi" w:eastAsiaTheme="minorEastAsia" w:hAnsiTheme="minorHAnsi" w:cstheme="minorBidi"/>
          <w:sz w:val="22"/>
          <w:lang w:eastAsia="sv-SE"/>
        </w:rPr>
        <w:tab/>
        <w:t>Using different methods for determining the cell quality value in serving and target cells does not seem to be viable way of breaking the balance between handover failures and ping-pong occurrences.</w:t>
      </w:r>
    </w:p>
    <w:p w14:paraId="055891F5" w14:textId="70F7F10A" w:rsidR="00107F2D" w:rsidRPr="00107F2D" w:rsidRDefault="00107F2D" w:rsidP="00107F2D">
      <w:pPr>
        <w:pStyle w:val="TOC1"/>
        <w:rPr>
          <w:rFonts w:asciiTheme="minorHAnsi" w:eastAsiaTheme="minorEastAsia" w:hAnsiTheme="minorHAnsi" w:cstheme="minorBidi"/>
          <w:sz w:val="22"/>
          <w:lang w:eastAsia="sv-SE"/>
        </w:rPr>
      </w:pPr>
      <w:r w:rsidRPr="00107F2D">
        <w:rPr>
          <w:rFonts w:asciiTheme="minorHAnsi" w:eastAsiaTheme="minorEastAsia" w:hAnsiTheme="minorHAnsi" w:cstheme="minorBidi"/>
          <w:sz w:val="22"/>
          <w:lang w:eastAsia="sv-SE"/>
        </w:rPr>
        <w:t>Observation 2</w:t>
      </w:r>
      <w:r w:rsidRPr="00107F2D">
        <w:rPr>
          <w:rFonts w:asciiTheme="minorHAnsi" w:eastAsiaTheme="minorEastAsia" w:hAnsiTheme="minorHAnsi" w:cstheme="minorBidi"/>
          <w:sz w:val="22"/>
          <w:lang w:eastAsia="sv-SE"/>
        </w:rPr>
        <w:tab/>
        <w:t>So far, results are not conclusive to decide how the quality of the serving cell should be determined.</w:t>
      </w:r>
    </w:p>
    <w:p w14:paraId="0682B96E" w14:textId="09134818" w:rsidR="008E065E" w:rsidRPr="00CE0424" w:rsidRDefault="008E065E" w:rsidP="00B25DDF">
      <w:pPr>
        <w:pStyle w:val="BodyText"/>
        <w:rPr>
          <w:b/>
          <w:bCs/>
        </w:rPr>
      </w:pPr>
      <w:r>
        <w:rPr>
          <w:b/>
          <w:bCs/>
        </w:rPr>
        <w:fldChar w:fldCharType="end"/>
      </w:r>
    </w:p>
    <w:p w14:paraId="0B366EDE" w14:textId="77777777" w:rsidR="00F507D1" w:rsidRPr="00CE0424" w:rsidRDefault="00F507D1" w:rsidP="00CE0424">
      <w:pPr>
        <w:pStyle w:val="Heading1"/>
      </w:pPr>
      <w:bookmarkStart w:id="9" w:name="_In-sequence_SDU_delivery"/>
      <w:bookmarkEnd w:id="9"/>
      <w:r w:rsidRPr="00CE0424">
        <w:t>References</w:t>
      </w:r>
    </w:p>
    <w:p w14:paraId="0260081F" w14:textId="666639AF" w:rsidR="003A7EF3" w:rsidRPr="00B25DDF" w:rsidRDefault="00B10D3A" w:rsidP="00CE0424">
      <w:pPr>
        <w:pStyle w:val="Reference"/>
        <w:rPr>
          <w:rStyle w:val="Hyperlink"/>
          <w:color w:val="auto"/>
          <w:u w:val="none"/>
        </w:rPr>
      </w:pPr>
      <w:bookmarkStart w:id="10" w:name="_Ref174151459"/>
      <w:bookmarkStart w:id="11" w:name="_Ref189809556"/>
      <w:r>
        <w:t xml:space="preserve">Chairman’s Report of RAN2#97; </w:t>
      </w:r>
      <w:hyperlink r:id="rId16" w:history="1">
        <w:r w:rsidRPr="00B10D3A">
          <w:rPr>
            <w:rStyle w:val="Hyperlink"/>
          </w:rPr>
          <w:t>ftp://ftp.3gpp.org/tsg_ran/WG2_RL2/TSGR2_97/Report/</w:t>
        </w:r>
      </w:hyperlink>
      <w:bookmarkEnd w:id="10"/>
      <w:bookmarkEnd w:id="11"/>
    </w:p>
    <w:p w14:paraId="7ABFE1F6" w14:textId="7DD98078" w:rsidR="006A2C4A" w:rsidRDefault="006A2C4A" w:rsidP="00CE0424">
      <w:pPr>
        <w:pStyle w:val="Reference"/>
      </w:pPr>
      <w:r>
        <w:t>R2-</w:t>
      </w:r>
      <w:r w:rsidRPr="00F373F5">
        <w:t>17</w:t>
      </w:r>
      <w:r w:rsidR="009A05DD" w:rsidRPr="00B25DDF">
        <w:t>02796</w:t>
      </w:r>
      <w:r>
        <w:t xml:space="preserve">, </w:t>
      </w:r>
      <w:r w:rsidR="009A05DD">
        <w:t>Measurement model and c</w:t>
      </w:r>
      <w:r>
        <w:t xml:space="preserve">ell quality derivation </w:t>
      </w:r>
      <w:r w:rsidR="009A05DD">
        <w:t>in NR</w:t>
      </w:r>
      <w:r>
        <w:t>, RAN2, 3GPP TSG-RAN WG2 #97bis, Spokane, USA, 3</w:t>
      </w:r>
      <w:r w:rsidRPr="00B25DDF">
        <w:rPr>
          <w:vertAlign w:val="superscript"/>
        </w:rPr>
        <w:t>rd</w:t>
      </w:r>
      <w:r>
        <w:t xml:space="preserve"> – 7</w:t>
      </w:r>
      <w:r w:rsidRPr="00B25DDF">
        <w:rPr>
          <w:vertAlign w:val="superscript"/>
        </w:rPr>
        <w:t>th</w:t>
      </w:r>
      <w:r>
        <w:t xml:space="preserve"> April 2017</w:t>
      </w:r>
    </w:p>
    <w:p w14:paraId="711883E5" w14:textId="6F741A12" w:rsidR="00F3257B" w:rsidRDefault="00F3257B" w:rsidP="00F3257B">
      <w:pPr>
        <w:pStyle w:val="Reference"/>
      </w:pPr>
      <w:r>
        <w:t xml:space="preserve">R2-1700681, </w:t>
      </w:r>
      <w:r w:rsidRPr="00473016">
        <w:t>Filtering of RRM measurements in CONNECTED</w:t>
      </w:r>
      <w:r>
        <w:t xml:space="preserve">, RAN2, </w:t>
      </w:r>
      <w:r w:rsidRPr="006E64B5">
        <w:rPr>
          <w:rFonts w:cs="Arial"/>
        </w:rPr>
        <w:t>3GPP TSG-RAN WG2 NR AdHoc, Spokane, USA, 17th – 19th January 2017.</w:t>
      </w:r>
      <w:r w:rsidRPr="00CE0424">
        <w:t xml:space="preserve"> </w:t>
      </w:r>
    </w:p>
    <w:p w14:paraId="54192830" w14:textId="4B10FD39" w:rsidR="00807E8E" w:rsidRDefault="006B6BD2" w:rsidP="006B6BD2">
      <w:pPr>
        <w:pStyle w:val="Reference"/>
      </w:pPr>
      <w:r w:rsidRPr="006B6BD2">
        <w:t>R2-1703589</w:t>
      </w:r>
      <w:bookmarkStart w:id="12" w:name="_GoBack"/>
      <w:bookmarkEnd w:id="12"/>
      <w:r w:rsidR="008324EE">
        <w:t xml:space="preserve">, </w:t>
      </w:r>
      <w:r w:rsidR="00807E8E" w:rsidRPr="00807E8E">
        <w:t>Mobility performance in heterogeneous networks</w:t>
      </w:r>
      <w:r w:rsidR="00807E8E">
        <w:t>, RAN2, 3GPP TSG-RAN WG2 #97bis, Spokane, USA, 3</w:t>
      </w:r>
      <w:r w:rsidR="00807E8E" w:rsidRPr="00807E8E">
        <w:rPr>
          <w:vertAlign w:val="superscript"/>
        </w:rPr>
        <w:t>rd</w:t>
      </w:r>
      <w:r w:rsidR="00807E8E">
        <w:t xml:space="preserve"> – 7</w:t>
      </w:r>
      <w:r w:rsidR="00807E8E" w:rsidRPr="00807E8E">
        <w:rPr>
          <w:vertAlign w:val="superscript"/>
        </w:rPr>
        <w:t>th</w:t>
      </w:r>
      <w:r w:rsidR="00807E8E">
        <w:t xml:space="preserve"> April 2017.</w:t>
      </w:r>
    </w:p>
    <w:p w14:paraId="1CE06D57" w14:textId="397BBC4A" w:rsidR="00F3257B" w:rsidRDefault="00F3257B" w:rsidP="00A11690">
      <w:pPr>
        <w:pStyle w:val="Reference"/>
        <w:numPr>
          <w:ilvl w:val="0"/>
          <w:numId w:val="0"/>
        </w:numPr>
      </w:pPr>
    </w:p>
    <w:p w14:paraId="3F2559B0" w14:textId="77777777" w:rsidR="00F3257B" w:rsidRDefault="00F3257B" w:rsidP="00F3257B">
      <w:pPr>
        <w:pStyle w:val="Heading1"/>
      </w:pPr>
      <w:r>
        <w:lastRenderedPageBreak/>
        <w:t>Appendix A. Simulation Parameters</w:t>
      </w:r>
    </w:p>
    <w:p w14:paraId="16EE8D6E" w14:textId="77777777" w:rsidR="00F3257B" w:rsidRDefault="00F3257B" w:rsidP="00F3257B">
      <w:pPr>
        <w:pStyle w:val="Reference"/>
        <w:numPr>
          <w:ilvl w:val="0"/>
          <w:numId w:val="0"/>
        </w:numPr>
        <w:ind w:left="567"/>
      </w:pPr>
    </w:p>
    <w:tbl>
      <w:tblPr>
        <w:tblStyle w:val="TableGridLight1"/>
        <w:tblW w:w="0" w:type="auto"/>
        <w:tblLook w:val="04A0" w:firstRow="1" w:lastRow="0" w:firstColumn="1" w:lastColumn="0" w:noHBand="0" w:noVBand="1"/>
      </w:tblPr>
      <w:tblGrid>
        <w:gridCol w:w="3235"/>
        <w:gridCol w:w="6384"/>
      </w:tblGrid>
      <w:tr w:rsidR="00F3257B" w:rsidRPr="009B1759" w14:paraId="6F08D9D6" w14:textId="77777777" w:rsidTr="0094573A">
        <w:trPr>
          <w:trHeight w:val="338"/>
        </w:trPr>
        <w:tc>
          <w:tcPr>
            <w:tcW w:w="3235" w:type="dxa"/>
            <w:hideMark/>
          </w:tcPr>
          <w:p w14:paraId="58B47C4B" w14:textId="77777777" w:rsidR="00F3257B" w:rsidRPr="009A19F4" w:rsidRDefault="00F3257B" w:rsidP="0094573A">
            <w:pPr>
              <w:snapToGrid w:val="0"/>
              <w:spacing w:after="0"/>
              <w:rPr>
                <w:rFonts w:eastAsiaTheme="minorEastAsia"/>
                <w:bCs/>
                <w:lang w:val="en-US"/>
              </w:rPr>
            </w:pPr>
            <w:r>
              <w:rPr>
                <w:rFonts w:eastAsiaTheme="minorEastAsia"/>
                <w:b/>
                <w:bCs/>
                <w:lang w:val="en-US"/>
              </w:rPr>
              <w:t>Parameter name</w:t>
            </w:r>
            <w:r w:rsidRPr="009A19F4">
              <w:rPr>
                <w:rFonts w:eastAsiaTheme="minorEastAsia"/>
                <w:b/>
                <w:bCs/>
                <w:lang w:val="en-US"/>
              </w:rPr>
              <w:t xml:space="preserve"> </w:t>
            </w:r>
          </w:p>
        </w:tc>
        <w:tc>
          <w:tcPr>
            <w:tcW w:w="6384" w:type="dxa"/>
            <w:hideMark/>
          </w:tcPr>
          <w:p w14:paraId="1F112017" w14:textId="77777777" w:rsidR="00F3257B" w:rsidRPr="009A19F4" w:rsidRDefault="00F3257B" w:rsidP="0094573A">
            <w:pPr>
              <w:snapToGrid w:val="0"/>
              <w:spacing w:after="0"/>
              <w:rPr>
                <w:rFonts w:eastAsiaTheme="minorEastAsia"/>
                <w:bCs/>
                <w:lang w:val="en-US"/>
              </w:rPr>
            </w:pPr>
            <w:r w:rsidRPr="009A19F4">
              <w:rPr>
                <w:rFonts w:eastAsiaTheme="minorEastAsia"/>
                <w:b/>
                <w:bCs/>
                <w:lang w:val="en-US"/>
              </w:rPr>
              <w:t xml:space="preserve">Value </w:t>
            </w:r>
          </w:p>
        </w:tc>
      </w:tr>
      <w:tr w:rsidR="00F3257B" w:rsidRPr="009B1759" w14:paraId="571106C5" w14:textId="77777777" w:rsidTr="0094573A">
        <w:trPr>
          <w:trHeight w:val="329"/>
        </w:trPr>
        <w:tc>
          <w:tcPr>
            <w:tcW w:w="3235" w:type="dxa"/>
            <w:hideMark/>
          </w:tcPr>
          <w:p w14:paraId="4199CB85" w14:textId="77777777" w:rsidR="00F3257B" w:rsidRPr="009A19F4" w:rsidRDefault="00F3257B" w:rsidP="0094573A">
            <w:pPr>
              <w:snapToGrid w:val="0"/>
              <w:spacing w:after="0"/>
              <w:rPr>
                <w:rFonts w:eastAsiaTheme="minorEastAsia"/>
                <w:bCs/>
                <w:lang w:val="en-US"/>
              </w:rPr>
            </w:pPr>
            <w:r>
              <w:rPr>
                <w:rFonts w:eastAsiaTheme="minorEastAsia"/>
                <w:b/>
                <w:bCs/>
                <w:lang w:val="en-US"/>
              </w:rPr>
              <w:t>Operating</w:t>
            </w:r>
            <w:r w:rsidRPr="009A19F4">
              <w:rPr>
                <w:rFonts w:eastAsiaTheme="minorEastAsia"/>
                <w:b/>
                <w:bCs/>
                <w:lang w:val="en-US"/>
              </w:rPr>
              <w:t xml:space="preserve"> frequency</w:t>
            </w:r>
            <w:r w:rsidRPr="009A19F4">
              <w:rPr>
                <w:rFonts w:eastAsiaTheme="minorEastAsia"/>
                <w:bCs/>
                <w:lang w:val="en-US"/>
              </w:rPr>
              <w:t xml:space="preserve"> </w:t>
            </w:r>
          </w:p>
        </w:tc>
        <w:tc>
          <w:tcPr>
            <w:tcW w:w="6384" w:type="dxa"/>
            <w:hideMark/>
          </w:tcPr>
          <w:p w14:paraId="442192FF" w14:textId="0EF0DC10" w:rsidR="00F3257B" w:rsidRPr="009A19F4" w:rsidRDefault="00F3257B" w:rsidP="0094573A">
            <w:pPr>
              <w:snapToGrid w:val="0"/>
              <w:spacing w:after="0"/>
              <w:rPr>
                <w:rFonts w:eastAsiaTheme="minorEastAsia"/>
                <w:bCs/>
                <w:lang w:val="en-US"/>
              </w:rPr>
            </w:pPr>
            <w:r>
              <w:rPr>
                <w:rFonts w:eastAsiaTheme="minorEastAsia"/>
                <w:bCs/>
                <w:lang w:val="en-US"/>
              </w:rPr>
              <w:t>2GHz</w:t>
            </w:r>
          </w:p>
        </w:tc>
      </w:tr>
      <w:tr w:rsidR="00F3257B" w:rsidRPr="009B1759" w14:paraId="0D59AAA9" w14:textId="77777777" w:rsidTr="0094573A">
        <w:trPr>
          <w:trHeight w:val="329"/>
        </w:trPr>
        <w:tc>
          <w:tcPr>
            <w:tcW w:w="3235" w:type="dxa"/>
          </w:tcPr>
          <w:p w14:paraId="433D8E01" w14:textId="77777777" w:rsidR="00F3257B" w:rsidRPr="009A19F4" w:rsidRDefault="00F3257B" w:rsidP="0094573A">
            <w:pPr>
              <w:snapToGrid w:val="0"/>
              <w:spacing w:after="0"/>
              <w:rPr>
                <w:rFonts w:eastAsiaTheme="minorEastAsia"/>
                <w:b/>
                <w:bCs/>
                <w:lang w:val="en-US"/>
              </w:rPr>
            </w:pPr>
            <w:r>
              <w:rPr>
                <w:rFonts w:eastAsiaTheme="minorEastAsia"/>
                <w:b/>
                <w:bCs/>
                <w:lang w:val="en-US"/>
              </w:rPr>
              <w:t>Deployment</w:t>
            </w:r>
          </w:p>
        </w:tc>
        <w:tc>
          <w:tcPr>
            <w:tcW w:w="6384" w:type="dxa"/>
          </w:tcPr>
          <w:p w14:paraId="2B7D9F6C" w14:textId="141961A5" w:rsidR="00F3257B" w:rsidRDefault="00F3257B" w:rsidP="0094573A">
            <w:pPr>
              <w:snapToGrid w:val="0"/>
              <w:spacing w:after="0"/>
              <w:rPr>
                <w:rFonts w:eastAsiaTheme="minorEastAsia"/>
                <w:bCs/>
                <w:lang w:val="en-US"/>
              </w:rPr>
            </w:pPr>
            <w:r>
              <w:rPr>
                <w:rFonts w:eastAsiaTheme="minorEastAsia"/>
                <w:bCs/>
                <w:lang w:val="en-US"/>
              </w:rPr>
              <w:t>3-site urban-macro with wrap-around (9 sectors)</w:t>
            </w:r>
          </w:p>
        </w:tc>
      </w:tr>
      <w:tr w:rsidR="00F3257B" w:rsidRPr="009B1759" w14:paraId="1912558A" w14:textId="77777777" w:rsidTr="0094573A">
        <w:trPr>
          <w:trHeight w:val="309"/>
        </w:trPr>
        <w:tc>
          <w:tcPr>
            <w:tcW w:w="3235" w:type="dxa"/>
            <w:hideMark/>
          </w:tcPr>
          <w:p w14:paraId="43F4C041" w14:textId="77777777" w:rsidR="00F3257B" w:rsidRPr="009A19F4" w:rsidRDefault="00F3257B" w:rsidP="0094573A">
            <w:pPr>
              <w:snapToGrid w:val="0"/>
              <w:spacing w:after="0"/>
              <w:rPr>
                <w:rFonts w:eastAsiaTheme="minorEastAsia"/>
                <w:bCs/>
                <w:lang w:val="en-US"/>
              </w:rPr>
            </w:pPr>
            <w:r w:rsidRPr="009A19F4">
              <w:rPr>
                <w:rFonts w:eastAsiaTheme="minorEastAsia"/>
                <w:b/>
                <w:bCs/>
                <w:lang w:val="en-US"/>
              </w:rPr>
              <w:t xml:space="preserve">Duplex </w:t>
            </w:r>
          </w:p>
        </w:tc>
        <w:tc>
          <w:tcPr>
            <w:tcW w:w="6384" w:type="dxa"/>
            <w:hideMark/>
          </w:tcPr>
          <w:p w14:paraId="1F80538F" w14:textId="77777777" w:rsidR="00F3257B" w:rsidRPr="009A19F4" w:rsidRDefault="00F3257B" w:rsidP="0094573A">
            <w:pPr>
              <w:snapToGrid w:val="0"/>
              <w:spacing w:after="0"/>
              <w:rPr>
                <w:rFonts w:eastAsiaTheme="minorEastAsia"/>
                <w:bCs/>
                <w:lang w:val="en-US"/>
              </w:rPr>
            </w:pPr>
            <w:r w:rsidRPr="009A19F4">
              <w:rPr>
                <w:rFonts w:eastAsiaTheme="minorEastAsia"/>
                <w:bCs/>
                <w:lang w:val="en-US"/>
              </w:rPr>
              <w:t>FDD</w:t>
            </w:r>
          </w:p>
        </w:tc>
      </w:tr>
      <w:tr w:rsidR="00F3257B" w:rsidRPr="009B1759" w14:paraId="2B1FA137" w14:textId="77777777" w:rsidTr="0094573A">
        <w:trPr>
          <w:trHeight w:val="309"/>
        </w:trPr>
        <w:tc>
          <w:tcPr>
            <w:tcW w:w="3235" w:type="dxa"/>
          </w:tcPr>
          <w:p w14:paraId="6F6858A3" w14:textId="77777777" w:rsidR="00F3257B" w:rsidRPr="009A19F4" w:rsidRDefault="00F3257B" w:rsidP="0094573A">
            <w:pPr>
              <w:snapToGrid w:val="0"/>
              <w:spacing w:after="0"/>
              <w:rPr>
                <w:rFonts w:eastAsiaTheme="minorEastAsia"/>
                <w:b/>
                <w:bCs/>
                <w:lang w:val="en-US"/>
              </w:rPr>
            </w:pPr>
            <w:r>
              <w:rPr>
                <w:rFonts w:eastAsiaTheme="minorEastAsia"/>
                <w:b/>
                <w:bCs/>
                <w:lang w:val="en-US"/>
              </w:rPr>
              <w:t>Tx antenna configuration</w:t>
            </w:r>
          </w:p>
        </w:tc>
        <w:tc>
          <w:tcPr>
            <w:tcW w:w="6384" w:type="dxa"/>
          </w:tcPr>
          <w:p w14:paraId="111D4653" w14:textId="32D250AF" w:rsidR="00F3257B" w:rsidRPr="009A19F4" w:rsidRDefault="00F3257B" w:rsidP="0094573A">
            <w:pPr>
              <w:snapToGrid w:val="0"/>
              <w:spacing w:after="0"/>
              <w:rPr>
                <w:rFonts w:eastAsiaTheme="minorEastAsia"/>
                <w:bCs/>
                <w:lang w:val="en-US"/>
              </w:rPr>
            </w:pPr>
            <w:r>
              <w:rPr>
                <w:rFonts w:eastAsiaTheme="minorEastAsia"/>
                <w:bCs/>
                <w:lang w:val="en-US"/>
              </w:rPr>
              <w:t>1x16 (row array), 16 beams per sector</w:t>
            </w:r>
          </w:p>
        </w:tc>
      </w:tr>
      <w:tr w:rsidR="00F3257B" w:rsidRPr="009B1759" w14:paraId="194505FF" w14:textId="77777777" w:rsidTr="0094573A">
        <w:trPr>
          <w:trHeight w:val="284"/>
        </w:trPr>
        <w:tc>
          <w:tcPr>
            <w:tcW w:w="3235" w:type="dxa"/>
            <w:hideMark/>
          </w:tcPr>
          <w:p w14:paraId="77788442" w14:textId="77777777" w:rsidR="00F3257B" w:rsidRPr="009A19F4" w:rsidRDefault="00F3257B" w:rsidP="0094573A">
            <w:pPr>
              <w:snapToGrid w:val="0"/>
              <w:spacing w:after="0"/>
              <w:rPr>
                <w:rFonts w:eastAsiaTheme="minorEastAsia"/>
                <w:bCs/>
                <w:lang w:val="en-US"/>
              </w:rPr>
            </w:pPr>
            <w:r w:rsidRPr="009A19F4">
              <w:rPr>
                <w:rFonts w:eastAsiaTheme="minorEastAsia"/>
                <w:b/>
                <w:bCs/>
                <w:lang w:val="en-US"/>
              </w:rPr>
              <w:t xml:space="preserve">System Bandwidth </w:t>
            </w:r>
          </w:p>
        </w:tc>
        <w:tc>
          <w:tcPr>
            <w:tcW w:w="6384" w:type="dxa"/>
            <w:hideMark/>
          </w:tcPr>
          <w:p w14:paraId="6576CA8A" w14:textId="77777777" w:rsidR="00F3257B" w:rsidRPr="009A19F4" w:rsidRDefault="00F3257B" w:rsidP="0094573A">
            <w:pPr>
              <w:snapToGrid w:val="0"/>
              <w:spacing w:after="0"/>
              <w:rPr>
                <w:rFonts w:eastAsiaTheme="minorEastAsia"/>
                <w:bCs/>
                <w:lang w:val="en-US"/>
              </w:rPr>
            </w:pPr>
            <w:r>
              <w:rPr>
                <w:rFonts w:eastAsiaTheme="minorEastAsia"/>
                <w:bCs/>
                <w:lang w:val="en-US"/>
              </w:rPr>
              <w:t>4</w:t>
            </w:r>
            <w:r w:rsidRPr="009A19F4">
              <w:rPr>
                <w:rFonts w:eastAsiaTheme="minorEastAsia"/>
                <w:bCs/>
                <w:lang w:val="en-US"/>
              </w:rPr>
              <w:t xml:space="preserve">0 MHz </w:t>
            </w:r>
          </w:p>
        </w:tc>
      </w:tr>
      <w:tr w:rsidR="00F3257B" w:rsidRPr="009B1759" w14:paraId="0108814D" w14:textId="77777777" w:rsidTr="0094573A">
        <w:trPr>
          <w:trHeight w:val="320"/>
        </w:trPr>
        <w:tc>
          <w:tcPr>
            <w:tcW w:w="3235" w:type="dxa"/>
            <w:hideMark/>
          </w:tcPr>
          <w:p w14:paraId="0803D6C4" w14:textId="77777777" w:rsidR="00F3257B" w:rsidRPr="009A19F4" w:rsidRDefault="00F3257B" w:rsidP="0094573A">
            <w:pPr>
              <w:snapToGrid w:val="0"/>
              <w:spacing w:after="0"/>
              <w:rPr>
                <w:rFonts w:eastAsiaTheme="minorEastAsia"/>
                <w:bCs/>
                <w:lang w:val="en-US"/>
              </w:rPr>
            </w:pPr>
            <w:r w:rsidRPr="009A19F4">
              <w:rPr>
                <w:rFonts w:eastAsiaTheme="minorEastAsia"/>
                <w:b/>
                <w:bCs/>
                <w:lang w:val="en-US"/>
              </w:rPr>
              <w:t xml:space="preserve">TTI length </w:t>
            </w:r>
          </w:p>
        </w:tc>
        <w:tc>
          <w:tcPr>
            <w:tcW w:w="6384" w:type="dxa"/>
            <w:hideMark/>
          </w:tcPr>
          <w:p w14:paraId="1652C97D" w14:textId="77777777" w:rsidR="00F3257B" w:rsidRPr="009A19F4" w:rsidRDefault="00F3257B" w:rsidP="0094573A">
            <w:pPr>
              <w:snapToGrid w:val="0"/>
              <w:spacing w:after="0"/>
              <w:rPr>
                <w:rFonts w:eastAsiaTheme="minorEastAsia"/>
                <w:bCs/>
                <w:lang w:val="en-US"/>
              </w:rPr>
            </w:pPr>
            <w:r>
              <w:rPr>
                <w:rFonts w:eastAsiaTheme="minorEastAsia"/>
                <w:bCs/>
                <w:lang w:val="en-US"/>
              </w:rPr>
              <w:t>0.125</w:t>
            </w:r>
            <w:r w:rsidRPr="009A19F4">
              <w:rPr>
                <w:rFonts w:eastAsiaTheme="minorEastAsia"/>
                <w:bCs/>
                <w:lang w:val="en-US"/>
              </w:rPr>
              <w:t xml:space="preserve"> ms </w:t>
            </w:r>
          </w:p>
        </w:tc>
      </w:tr>
      <w:tr w:rsidR="00F3257B" w:rsidRPr="009B1759" w14:paraId="6C55F6CA" w14:textId="77777777" w:rsidTr="0094573A">
        <w:trPr>
          <w:trHeight w:val="329"/>
        </w:trPr>
        <w:tc>
          <w:tcPr>
            <w:tcW w:w="3235" w:type="dxa"/>
            <w:hideMark/>
          </w:tcPr>
          <w:p w14:paraId="3E5525FD" w14:textId="77777777" w:rsidR="00F3257B" w:rsidRPr="009A19F4" w:rsidRDefault="00F3257B" w:rsidP="0094573A">
            <w:pPr>
              <w:snapToGrid w:val="0"/>
              <w:spacing w:after="0"/>
              <w:rPr>
                <w:rFonts w:eastAsiaTheme="minorEastAsia"/>
                <w:bCs/>
                <w:lang w:val="en-US"/>
              </w:rPr>
            </w:pPr>
            <w:r w:rsidRPr="009A19F4">
              <w:rPr>
                <w:rFonts w:eastAsiaTheme="minorEastAsia"/>
                <w:b/>
                <w:bCs/>
                <w:lang w:val="en-US"/>
              </w:rPr>
              <w:t xml:space="preserve">Subcarrier spacing </w:t>
            </w:r>
          </w:p>
        </w:tc>
        <w:tc>
          <w:tcPr>
            <w:tcW w:w="6384" w:type="dxa"/>
            <w:hideMark/>
          </w:tcPr>
          <w:p w14:paraId="639F2B88" w14:textId="77777777" w:rsidR="00F3257B" w:rsidRPr="009A19F4" w:rsidRDefault="00F3257B" w:rsidP="0094573A">
            <w:pPr>
              <w:snapToGrid w:val="0"/>
              <w:spacing w:after="0"/>
              <w:rPr>
                <w:rFonts w:eastAsiaTheme="minorEastAsia"/>
                <w:bCs/>
                <w:lang w:val="en-US"/>
              </w:rPr>
            </w:pPr>
            <w:r>
              <w:rPr>
                <w:rFonts w:eastAsiaTheme="minorEastAsia"/>
                <w:bCs/>
                <w:lang w:val="en-US"/>
              </w:rPr>
              <w:t>60</w:t>
            </w:r>
            <w:r w:rsidRPr="009A19F4">
              <w:rPr>
                <w:rFonts w:eastAsiaTheme="minorEastAsia"/>
                <w:bCs/>
                <w:lang w:val="en-US"/>
              </w:rPr>
              <w:t xml:space="preserve">KHz </w:t>
            </w:r>
          </w:p>
        </w:tc>
      </w:tr>
      <w:tr w:rsidR="00F3257B" w:rsidRPr="009B1759" w14:paraId="44DEF3F5" w14:textId="77777777" w:rsidTr="0094573A">
        <w:trPr>
          <w:trHeight w:val="385"/>
        </w:trPr>
        <w:tc>
          <w:tcPr>
            <w:tcW w:w="3235" w:type="dxa"/>
          </w:tcPr>
          <w:p w14:paraId="38E9A349" w14:textId="77777777" w:rsidR="00F3257B" w:rsidRDefault="00F3257B" w:rsidP="0094573A">
            <w:pPr>
              <w:snapToGrid w:val="0"/>
              <w:spacing w:after="0"/>
              <w:rPr>
                <w:rFonts w:eastAsiaTheme="minorEastAsia"/>
                <w:b/>
                <w:bCs/>
                <w:lang w:val="en-US"/>
              </w:rPr>
            </w:pPr>
            <w:r>
              <w:rPr>
                <w:rFonts w:eastAsiaTheme="minorEastAsia"/>
                <w:b/>
                <w:bCs/>
                <w:lang w:val="en-US"/>
              </w:rPr>
              <w:t>UE speed</w:t>
            </w:r>
          </w:p>
        </w:tc>
        <w:tc>
          <w:tcPr>
            <w:tcW w:w="6384" w:type="dxa"/>
          </w:tcPr>
          <w:p w14:paraId="762A03C1" w14:textId="313FBEF0" w:rsidR="00F3257B" w:rsidRDefault="00F3257B" w:rsidP="0094573A">
            <w:pPr>
              <w:snapToGrid w:val="0"/>
              <w:spacing w:after="0"/>
              <w:rPr>
                <w:rFonts w:eastAsiaTheme="minorEastAsia"/>
                <w:bCs/>
                <w:lang w:val="en-US"/>
              </w:rPr>
            </w:pPr>
            <w:r>
              <w:rPr>
                <w:rFonts w:eastAsiaTheme="minorEastAsia"/>
                <w:bCs/>
                <w:lang w:val="en-US"/>
              </w:rPr>
              <w:t>30 kmph</w:t>
            </w:r>
          </w:p>
        </w:tc>
      </w:tr>
      <w:tr w:rsidR="00F3257B" w:rsidRPr="009B1759" w14:paraId="29532E66" w14:textId="77777777" w:rsidTr="0094573A">
        <w:trPr>
          <w:trHeight w:val="385"/>
        </w:trPr>
        <w:tc>
          <w:tcPr>
            <w:tcW w:w="3235" w:type="dxa"/>
          </w:tcPr>
          <w:p w14:paraId="3841C6C3" w14:textId="77777777" w:rsidR="00F3257B" w:rsidRDefault="00F3257B" w:rsidP="0094573A">
            <w:pPr>
              <w:snapToGrid w:val="0"/>
              <w:spacing w:after="0"/>
              <w:rPr>
                <w:rFonts w:eastAsiaTheme="minorEastAsia"/>
                <w:b/>
                <w:bCs/>
                <w:lang w:val="en-US"/>
              </w:rPr>
            </w:pPr>
            <w:r>
              <w:rPr>
                <w:rFonts w:eastAsiaTheme="minorEastAsia"/>
                <w:b/>
                <w:bCs/>
                <w:lang w:val="en-US"/>
              </w:rPr>
              <w:t>UE position update</w:t>
            </w:r>
            <w:r w:rsidRPr="009A19F4">
              <w:rPr>
                <w:rFonts w:eastAsiaTheme="minorEastAsia"/>
                <w:b/>
                <w:bCs/>
                <w:lang w:val="en-US"/>
              </w:rPr>
              <w:t xml:space="preserve"> </w:t>
            </w:r>
            <w:r>
              <w:rPr>
                <w:rFonts w:eastAsiaTheme="minorEastAsia"/>
                <w:b/>
                <w:bCs/>
                <w:lang w:val="en-US"/>
              </w:rPr>
              <w:t>period</w:t>
            </w:r>
          </w:p>
        </w:tc>
        <w:tc>
          <w:tcPr>
            <w:tcW w:w="6384" w:type="dxa"/>
          </w:tcPr>
          <w:p w14:paraId="4E72E8A0" w14:textId="77777777" w:rsidR="00F3257B" w:rsidRDefault="00F3257B" w:rsidP="0094573A">
            <w:pPr>
              <w:snapToGrid w:val="0"/>
              <w:spacing w:after="0"/>
              <w:rPr>
                <w:rFonts w:eastAsiaTheme="minorEastAsia"/>
                <w:bCs/>
                <w:lang w:val="en-US"/>
              </w:rPr>
            </w:pPr>
            <w:r>
              <w:rPr>
                <w:rFonts w:eastAsiaTheme="minorEastAsia"/>
                <w:bCs/>
                <w:lang w:val="en-US"/>
              </w:rPr>
              <w:t>2 ms</w:t>
            </w:r>
          </w:p>
        </w:tc>
      </w:tr>
      <w:tr w:rsidR="00F3257B" w:rsidRPr="009B1759" w14:paraId="5E8FD161" w14:textId="77777777" w:rsidTr="0094573A">
        <w:trPr>
          <w:trHeight w:val="351"/>
        </w:trPr>
        <w:tc>
          <w:tcPr>
            <w:tcW w:w="3235" w:type="dxa"/>
            <w:hideMark/>
          </w:tcPr>
          <w:p w14:paraId="7727C496" w14:textId="77777777" w:rsidR="00F3257B" w:rsidRPr="009A19F4" w:rsidRDefault="00F3257B" w:rsidP="0094573A">
            <w:pPr>
              <w:snapToGrid w:val="0"/>
              <w:spacing w:after="0"/>
              <w:rPr>
                <w:rFonts w:eastAsiaTheme="minorEastAsia"/>
                <w:bCs/>
                <w:lang w:val="en-US"/>
              </w:rPr>
            </w:pPr>
            <w:r>
              <w:rPr>
                <w:rFonts w:eastAsiaTheme="minorEastAsia"/>
                <w:b/>
                <w:bCs/>
                <w:lang w:val="en-US"/>
              </w:rPr>
              <w:t>UE ports</w:t>
            </w:r>
            <w:r w:rsidRPr="009A19F4">
              <w:rPr>
                <w:rFonts w:eastAsiaTheme="minorEastAsia"/>
                <w:b/>
                <w:bCs/>
                <w:lang w:val="en-US"/>
              </w:rPr>
              <w:t xml:space="preserve"> </w:t>
            </w:r>
          </w:p>
        </w:tc>
        <w:tc>
          <w:tcPr>
            <w:tcW w:w="6384" w:type="dxa"/>
            <w:hideMark/>
          </w:tcPr>
          <w:p w14:paraId="4BAD9DE9" w14:textId="77777777" w:rsidR="00F3257B" w:rsidRPr="009A19F4" w:rsidRDefault="00F3257B" w:rsidP="0094573A">
            <w:pPr>
              <w:snapToGrid w:val="0"/>
              <w:spacing w:after="0"/>
              <w:rPr>
                <w:rFonts w:eastAsiaTheme="minorEastAsia"/>
                <w:bCs/>
                <w:lang w:val="en-US"/>
              </w:rPr>
            </w:pPr>
            <w:r>
              <w:rPr>
                <w:rFonts w:eastAsiaTheme="minorEastAsia"/>
                <w:bCs/>
                <w:lang w:val="en-US"/>
              </w:rPr>
              <w:t>2</w:t>
            </w:r>
          </w:p>
        </w:tc>
      </w:tr>
      <w:tr w:rsidR="00F3257B" w:rsidRPr="009B1759" w14:paraId="60396990" w14:textId="77777777" w:rsidTr="0094573A">
        <w:trPr>
          <w:trHeight w:val="351"/>
        </w:trPr>
        <w:tc>
          <w:tcPr>
            <w:tcW w:w="3235" w:type="dxa"/>
          </w:tcPr>
          <w:p w14:paraId="4E6058FE" w14:textId="77777777" w:rsidR="00F3257B" w:rsidRDefault="00F3257B" w:rsidP="0094573A">
            <w:pPr>
              <w:snapToGrid w:val="0"/>
              <w:spacing w:after="0"/>
              <w:rPr>
                <w:rFonts w:eastAsiaTheme="minorEastAsia"/>
                <w:b/>
                <w:bCs/>
                <w:lang w:val="en-US"/>
              </w:rPr>
            </w:pPr>
            <w:r>
              <w:rPr>
                <w:rFonts w:eastAsiaTheme="minorEastAsia"/>
                <w:b/>
                <w:bCs/>
                <w:lang w:val="en-US"/>
              </w:rPr>
              <w:t>Propagation mode</w:t>
            </w:r>
          </w:p>
        </w:tc>
        <w:tc>
          <w:tcPr>
            <w:tcW w:w="6384" w:type="dxa"/>
          </w:tcPr>
          <w:p w14:paraId="6142F18C" w14:textId="3B0E9432" w:rsidR="00F3257B" w:rsidRDefault="00807E8E" w:rsidP="0094573A">
            <w:pPr>
              <w:snapToGrid w:val="0"/>
              <w:spacing w:after="0"/>
              <w:rPr>
                <w:rFonts w:eastAsiaTheme="minorEastAsia"/>
                <w:bCs/>
                <w:lang w:val="en-US"/>
              </w:rPr>
            </w:pPr>
            <w:r>
              <w:t>3GPP TR 36.873</w:t>
            </w:r>
          </w:p>
        </w:tc>
      </w:tr>
      <w:tr w:rsidR="00F3257B" w:rsidRPr="009B1759" w14:paraId="5075E163" w14:textId="77777777" w:rsidTr="0094573A">
        <w:trPr>
          <w:trHeight w:val="351"/>
        </w:trPr>
        <w:tc>
          <w:tcPr>
            <w:tcW w:w="3235" w:type="dxa"/>
          </w:tcPr>
          <w:p w14:paraId="1593B41F" w14:textId="77777777" w:rsidR="00F3257B" w:rsidRDefault="00F3257B" w:rsidP="0094573A">
            <w:pPr>
              <w:snapToGrid w:val="0"/>
              <w:spacing w:after="0"/>
              <w:rPr>
                <w:rFonts w:eastAsiaTheme="minorEastAsia"/>
                <w:b/>
                <w:bCs/>
                <w:lang w:val="en-US"/>
              </w:rPr>
            </w:pPr>
            <w:r>
              <w:rPr>
                <w:rFonts w:eastAsiaTheme="minorEastAsia"/>
                <w:b/>
                <w:bCs/>
                <w:lang w:val="en-US"/>
              </w:rPr>
              <w:t>Channel estimation</w:t>
            </w:r>
          </w:p>
        </w:tc>
        <w:tc>
          <w:tcPr>
            <w:tcW w:w="6384" w:type="dxa"/>
          </w:tcPr>
          <w:p w14:paraId="5E71D7EF" w14:textId="77777777" w:rsidR="00F3257B" w:rsidRDefault="00F3257B" w:rsidP="0094573A">
            <w:pPr>
              <w:snapToGrid w:val="0"/>
              <w:spacing w:after="0"/>
              <w:rPr>
                <w:rFonts w:eastAsiaTheme="minorEastAsia"/>
                <w:bCs/>
                <w:lang w:val="en-US"/>
              </w:rPr>
            </w:pPr>
            <w:r>
              <w:rPr>
                <w:rFonts w:eastAsiaTheme="minorEastAsia"/>
                <w:bCs/>
                <w:lang w:val="en-US"/>
              </w:rPr>
              <w:t>Ideal</w:t>
            </w:r>
          </w:p>
        </w:tc>
      </w:tr>
      <w:tr w:rsidR="00F3257B" w:rsidRPr="009B1759" w14:paraId="1250D2F2" w14:textId="77777777" w:rsidTr="0094573A">
        <w:trPr>
          <w:trHeight w:val="351"/>
        </w:trPr>
        <w:tc>
          <w:tcPr>
            <w:tcW w:w="3235" w:type="dxa"/>
          </w:tcPr>
          <w:p w14:paraId="55546C94" w14:textId="77777777" w:rsidR="00F3257B" w:rsidRDefault="00F3257B" w:rsidP="0094573A">
            <w:pPr>
              <w:snapToGrid w:val="0"/>
              <w:spacing w:after="0"/>
              <w:rPr>
                <w:rFonts w:eastAsiaTheme="minorEastAsia"/>
                <w:b/>
                <w:bCs/>
                <w:lang w:val="en-US"/>
              </w:rPr>
            </w:pPr>
            <w:r>
              <w:rPr>
                <w:rFonts w:eastAsiaTheme="minorEastAsia"/>
                <w:b/>
                <w:bCs/>
                <w:lang w:val="en-US"/>
              </w:rPr>
              <w:t>Cell detection threshold</w:t>
            </w:r>
          </w:p>
        </w:tc>
        <w:tc>
          <w:tcPr>
            <w:tcW w:w="6384" w:type="dxa"/>
          </w:tcPr>
          <w:p w14:paraId="22D64CE6" w14:textId="77777777" w:rsidR="00F3257B" w:rsidRDefault="00F3257B" w:rsidP="0094573A">
            <w:pPr>
              <w:snapToGrid w:val="0"/>
              <w:spacing w:after="0"/>
              <w:rPr>
                <w:rFonts w:eastAsiaTheme="minorEastAsia"/>
                <w:bCs/>
                <w:lang w:val="en-US"/>
              </w:rPr>
            </w:pPr>
            <w:r>
              <w:rPr>
                <w:rFonts w:eastAsiaTheme="minorEastAsia"/>
                <w:bCs/>
                <w:lang w:val="en-US"/>
              </w:rPr>
              <w:t>-110 dBm</w:t>
            </w:r>
          </w:p>
        </w:tc>
      </w:tr>
      <w:tr w:rsidR="00F3257B" w:rsidRPr="009B1759" w14:paraId="453D2EFF" w14:textId="77777777" w:rsidTr="0094573A">
        <w:trPr>
          <w:trHeight w:val="335"/>
        </w:trPr>
        <w:tc>
          <w:tcPr>
            <w:tcW w:w="3235" w:type="dxa"/>
            <w:hideMark/>
          </w:tcPr>
          <w:p w14:paraId="41B95B04" w14:textId="77777777" w:rsidR="00F3257B" w:rsidRPr="009A19F4" w:rsidRDefault="00F3257B" w:rsidP="0094573A">
            <w:pPr>
              <w:snapToGrid w:val="0"/>
              <w:spacing w:after="0"/>
              <w:rPr>
                <w:rFonts w:eastAsiaTheme="minorEastAsia"/>
                <w:bCs/>
                <w:lang w:val="en-US"/>
              </w:rPr>
            </w:pPr>
            <w:r>
              <w:rPr>
                <w:rFonts w:eastAsiaTheme="minorEastAsia"/>
                <w:b/>
                <w:bCs/>
                <w:lang w:val="en-US"/>
              </w:rPr>
              <w:t>Hysteresis margin</w:t>
            </w:r>
            <w:r w:rsidRPr="009A19F4">
              <w:rPr>
                <w:rFonts w:eastAsiaTheme="minorEastAsia"/>
                <w:bCs/>
                <w:lang w:val="en-US"/>
              </w:rPr>
              <w:t xml:space="preserve"> </w:t>
            </w:r>
          </w:p>
        </w:tc>
        <w:tc>
          <w:tcPr>
            <w:tcW w:w="6384" w:type="dxa"/>
            <w:hideMark/>
          </w:tcPr>
          <w:p w14:paraId="7EE57EC4" w14:textId="77777777" w:rsidR="00F3257B" w:rsidRPr="009A19F4" w:rsidRDefault="00F3257B" w:rsidP="0094573A">
            <w:pPr>
              <w:snapToGrid w:val="0"/>
              <w:spacing w:after="0"/>
              <w:rPr>
                <w:rFonts w:eastAsiaTheme="minorEastAsia"/>
                <w:bCs/>
                <w:lang w:val="en-US"/>
              </w:rPr>
            </w:pPr>
            <w:r>
              <w:rPr>
                <w:rFonts w:eastAsiaTheme="minorEastAsia"/>
                <w:bCs/>
                <w:lang w:val="en-US"/>
              </w:rPr>
              <w:t>3 dB</w:t>
            </w:r>
          </w:p>
        </w:tc>
      </w:tr>
      <w:tr w:rsidR="00F3257B" w:rsidRPr="009D0D93" w14:paraId="3EBEBA7A" w14:textId="77777777" w:rsidTr="0094573A">
        <w:trPr>
          <w:trHeight w:val="311"/>
        </w:trPr>
        <w:tc>
          <w:tcPr>
            <w:tcW w:w="3235" w:type="dxa"/>
            <w:hideMark/>
          </w:tcPr>
          <w:p w14:paraId="5740C7F9" w14:textId="77777777" w:rsidR="00F3257B" w:rsidRPr="009A19F4" w:rsidRDefault="00F3257B" w:rsidP="0094573A">
            <w:pPr>
              <w:snapToGrid w:val="0"/>
              <w:spacing w:after="0"/>
              <w:rPr>
                <w:rFonts w:eastAsiaTheme="minorEastAsia"/>
                <w:bCs/>
                <w:lang w:val="en-US"/>
              </w:rPr>
            </w:pPr>
            <w:r>
              <w:rPr>
                <w:rFonts w:eastAsiaTheme="minorEastAsia"/>
                <w:b/>
                <w:bCs/>
                <w:lang w:val="en-US"/>
              </w:rPr>
              <w:t>Filter coefficients</w:t>
            </w:r>
            <w:r w:rsidRPr="009A19F4">
              <w:rPr>
                <w:rFonts w:eastAsiaTheme="minorEastAsia"/>
                <w:bCs/>
                <w:lang w:val="en-US"/>
              </w:rPr>
              <w:t xml:space="preserve"> </w:t>
            </w:r>
          </w:p>
        </w:tc>
        <w:tc>
          <w:tcPr>
            <w:tcW w:w="6384" w:type="dxa"/>
            <w:hideMark/>
          </w:tcPr>
          <w:p w14:paraId="6B448567" w14:textId="77777777" w:rsidR="00F3257B" w:rsidRPr="0060361B" w:rsidRDefault="00F3257B" w:rsidP="0094573A">
            <w:pPr>
              <w:snapToGrid w:val="0"/>
              <w:spacing w:after="0"/>
              <w:rPr>
                <w:rFonts w:eastAsiaTheme="minorEastAsia"/>
                <w:bCs/>
                <w:lang w:val="sv-SE"/>
              </w:rPr>
            </w:pPr>
            <w:r w:rsidRPr="0060361B">
              <w:rPr>
                <w:rFonts w:eastAsiaTheme="minorEastAsia"/>
                <w:bCs/>
                <w:lang w:val="sv-SE"/>
              </w:rPr>
              <w:t xml:space="preserve">L1 filter </w:t>
            </w:r>
            <w:r>
              <w:rPr>
                <w:rFonts w:eastAsiaTheme="minorEastAsia" w:cs="Arial"/>
                <w:bCs/>
                <w:lang w:val="en-US"/>
              </w:rPr>
              <w:t>λ</w:t>
            </w:r>
            <w:r w:rsidRPr="0060361B">
              <w:rPr>
                <w:rFonts w:eastAsiaTheme="minorEastAsia"/>
                <w:bCs/>
                <w:lang w:val="sv-SE"/>
              </w:rPr>
              <w:t xml:space="preserve"> = 0.8, L3 filter k = 4</w:t>
            </w:r>
          </w:p>
        </w:tc>
      </w:tr>
      <w:tr w:rsidR="00F3257B" w:rsidRPr="002F2E48" w14:paraId="599727E7" w14:textId="77777777" w:rsidTr="0094573A">
        <w:trPr>
          <w:trHeight w:val="311"/>
        </w:trPr>
        <w:tc>
          <w:tcPr>
            <w:tcW w:w="3235" w:type="dxa"/>
          </w:tcPr>
          <w:p w14:paraId="48B6DD87" w14:textId="77777777" w:rsidR="00F3257B" w:rsidRDefault="00F3257B" w:rsidP="0094573A">
            <w:pPr>
              <w:snapToGrid w:val="0"/>
              <w:spacing w:after="0"/>
              <w:rPr>
                <w:rFonts w:eastAsiaTheme="minorEastAsia"/>
                <w:b/>
                <w:bCs/>
                <w:lang w:val="en-US"/>
              </w:rPr>
            </w:pPr>
            <w:r>
              <w:rPr>
                <w:rFonts w:eastAsiaTheme="minorEastAsia"/>
                <w:b/>
                <w:bCs/>
                <w:lang w:val="en-US"/>
              </w:rPr>
              <w:t>Beam grouping</w:t>
            </w:r>
          </w:p>
        </w:tc>
        <w:tc>
          <w:tcPr>
            <w:tcW w:w="6384" w:type="dxa"/>
          </w:tcPr>
          <w:p w14:paraId="2A5D551E" w14:textId="2930FF72" w:rsidR="00F3257B" w:rsidRPr="002F2E48" w:rsidRDefault="00807E8E" w:rsidP="0094573A">
            <w:pPr>
              <w:snapToGrid w:val="0"/>
              <w:spacing w:after="0"/>
              <w:rPr>
                <w:rFonts w:eastAsiaTheme="minorEastAsia"/>
                <w:bCs/>
                <w:lang w:val="en-US"/>
              </w:rPr>
            </w:pPr>
            <w:r>
              <w:rPr>
                <w:rFonts w:eastAsiaTheme="minorEastAsia"/>
                <w:bCs/>
                <w:lang w:val="en-US"/>
              </w:rPr>
              <w:t xml:space="preserve">After </w:t>
            </w:r>
            <w:r w:rsidR="00F3257B">
              <w:rPr>
                <w:rFonts w:eastAsiaTheme="minorEastAsia"/>
                <w:bCs/>
                <w:lang w:val="en-US"/>
              </w:rPr>
              <w:t>L3</w:t>
            </w:r>
            <w:r>
              <w:rPr>
                <w:rFonts w:eastAsiaTheme="minorEastAsia"/>
                <w:bCs/>
                <w:lang w:val="en-US"/>
              </w:rPr>
              <w:t xml:space="preserve"> filtering</w:t>
            </w:r>
          </w:p>
        </w:tc>
      </w:tr>
      <w:tr w:rsidR="00F3257B" w:rsidRPr="009B1759" w14:paraId="1D117409" w14:textId="77777777" w:rsidTr="0094573A">
        <w:trPr>
          <w:trHeight w:val="311"/>
        </w:trPr>
        <w:tc>
          <w:tcPr>
            <w:tcW w:w="3235" w:type="dxa"/>
          </w:tcPr>
          <w:p w14:paraId="16E2B81D" w14:textId="77777777" w:rsidR="00F3257B" w:rsidRDefault="00F3257B" w:rsidP="0094573A">
            <w:pPr>
              <w:snapToGrid w:val="0"/>
              <w:spacing w:after="0"/>
              <w:rPr>
                <w:rFonts w:eastAsiaTheme="minorEastAsia"/>
                <w:b/>
                <w:bCs/>
                <w:lang w:val="en-US"/>
              </w:rPr>
            </w:pPr>
            <w:r>
              <w:rPr>
                <w:rFonts w:eastAsiaTheme="minorEastAsia"/>
                <w:b/>
                <w:bCs/>
                <w:lang w:val="en-US"/>
              </w:rPr>
              <w:t>Handover measurement period</w:t>
            </w:r>
          </w:p>
        </w:tc>
        <w:tc>
          <w:tcPr>
            <w:tcW w:w="6384" w:type="dxa"/>
          </w:tcPr>
          <w:p w14:paraId="12BDF94B" w14:textId="77777777" w:rsidR="00F3257B" w:rsidRDefault="00F3257B" w:rsidP="0094573A">
            <w:pPr>
              <w:snapToGrid w:val="0"/>
              <w:spacing w:after="0"/>
              <w:rPr>
                <w:rFonts w:eastAsiaTheme="minorEastAsia"/>
                <w:bCs/>
                <w:lang w:val="en-US"/>
              </w:rPr>
            </w:pPr>
            <w:r>
              <w:rPr>
                <w:rFonts w:eastAsiaTheme="minorEastAsia"/>
                <w:bCs/>
                <w:lang w:val="en-US"/>
              </w:rPr>
              <w:t>20 ms</w:t>
            </w:r>
          </w:p>
        </w:tc>
      </w:tr>
      <w:tr w:rsidR="00F3257B" w:rsidRPr="009B1759" w14:paraId="786796F0" w14:textId="77777777" w:rsidTr="0094573A">
        <w:trPr>
          <w:trHeight w:val="318"/>
        </w:trPr>
        <w:tc>
          <w:tcPr>
            <w:tcW w:w="3235" w:type="dxa"/>
            <w:hideMark/>
          </w:tcPr>
          <w:p w14:paraId="419D432E" w14:textId="77777777" w:rsidR="00F3257B" w:rsidRPr="009A19F4" w:rsidRDefault="00F3257B" w:rsidP="0094573A">
            <w:pPr>
              <w:snapToGrid w:val="0"/>
              <w:spacing w:after="0"/>
              <w:rPr>
                <w:rFonts w:eastAsiaTheme="minorEastAsia"/>
                <w:bCs/>
                <w:lang w:val="en-US"/>
              </w:rPr>
            </w:pPr>
            <w:r>
              <w:rPr>
                <w:rFonts w:eastAsiaTheme="minorEastAsia"/>
                <w:b/>
                <w:bCs/>
                <w:lang w:val="en-US"/>
              </w:rPr>
              <w:t>Handover update period</w:t>
            </w:r>
            <w:r w:rsidRPr="009A19F4">
              <w:rPr>
                <w:rFonts w:eastAsiaTheme="minorEastAsia"/>
                <w:bCs/>
                <w:lang w:val="en-US"/>
              </w:rPr>
              <w:t xml:space="preserve"> </w:t>
            </w:r>
          </w:p>
        </w:tc>
        <w:tc>
          <w:tcPr>
            <w:tcW w:w="6384" w:type="dxa"/>
            <w:hideMark/>
          </w:tcPr>
          <w:p w14:paraId="4927013F" w14:textId="77777777" w:rsidR="00F3257B" w:rsidRPr="009A19F4" w:rsidRDefault="00F3257B" w:rsidP="0094573A">
            <w:pPr>
              <w:snapToGrid w:val="0"/>
              <w:spacing w:after="0"/>
              <w:rPr>
                <w:rFonts w:eastAsiaTheme="minorEastAsia"/>
                <w:bCs/>
                <w:lang w:val="en-US"/>
              </w:rPr>
            </w:pPr>
            <w:r>
              <w:rPr>
                <w:rFonts w:eastAsiaTheme="minorEastAsia"/>
                <w:bCs/>
                <w:lang w:val="en-US"/>
              </w:rPr>
              <w:t>20 ms</w:t>
            </w:r>
            <w:r w:rsidRPr="009A19F4">
              <w:rPr>
                <w:rFonts w:eastAsiaTheme="minorEastAsia"/>
                <w:bCs/>
                <w:lang w:val="en-US"/>
              </w:rPr>
              <w:t xml:space="preserve"> </w:t>
            </w:r>
          </w:p>
        </w:tc>
      </w:tr>
      <w:tr w:rsidR="00F3257B" w:rsidRPr="009B1759" w14:paraId="3ECA648E" w14:textId="77777777" w:rsidTr="0094573A">
        <w:trPr>
          <w:trHeight w:val="318"/>
        </w:trPr>
        <w:tc>
          <w:tcPr>
            <w:tcW w:w="3235" w:type="dxa"/>
          </w:tcPr>
          <w:p w14:paraId="39167936" w14:textId="77777777" w:rsidR="00F3257B" w:rsidRDefault="00F3257B" w:rsidP="0094573A">
            <w:pPr>
              <w:snapToGrid w:val="0"/>
              <w:spacing w:after="0"/>
              <w:rPr>
                <w:rFonts w:eastAsiaTheme="minorEastAsia"/>
                <w:b/>
                <w:bCs/>
                <w:lang w:val="en-US"/>
              </w:rPr>
            </w:pPr>
            <w:r>
              <w:rPr>
                <w:rFonts w:eastAsiaTheme="minorEastAsia"/>
                <w:b/>
                <w:bCs/>
                <w:lang w:val="en-US"/>
              </w:rPr>
              <w:t>TTT</w:t>
            </w:r>
          </w:p>
        </w:tc>
        <w:tc>
          <w:tcPr>
            <w:tcW w:w="6384" w:type="dxa"/>
          </w:tcPr>
          <w:p w14:paraId="2E34E88E" w14:textId="77777777" w:rsidR="00F3257B" w:rsidRDefault="00F3257B" w:rsidP="0094573A">
            <w:pPr>
              <w:snapToGrid w:val="0"/>
              <w:spacing w:after="0"/>
              <w:rPr>
                <w:rFonts w:eastAsiaTheme="minorEastAsia"/>
                <w:bCs/>
                <w:lang w:val="en-US"/>
              </w:rPr>
            </w:pPr>
            <w:r>
              <w:rPr>
                <w:rFonts w:eastAsiaTheme="minorEastAsia"/>
                <w:bCs/>
                <w:lang w:val="en-US"/>
              </w:rPr>
              <w:t>100 ms</w:t>
            </w:r>
          </w:p>
        </w:tc>
      </w:tr>
    </w:tbl>
    <w:p w14:paraId="5AF33694" w14:textId="720ADC22" w:rsidR="00F3257B" w:rsidRPr="00CE0424" w:rsidRDefault="00F3257B" w:rsidP="00383AD8">
      <w:pPr>
        <w:pStyle w:val="Reference"/>
        <w:numPr>
          <w:ilvl w:val="0"/>
          <w:numId w:val="0"/>
        </w:numPr>
      </w:pPr>
    </w:p>
    <w:sectPr w:rsidR="00F3257B" w:rsidRPr="00CE042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52F090" w14:textId="77777777" w:rsidR="008117AC" w:rsidRDefault="008117AC">
      <w:r>
        <w:separator/>
      </w:r>
    </w:p>
  </w:endnote>
  <w:endnote w:type="continuationSeparator" w:id="0">
    <w:p w14:paraId="5CB4DC2F" w14:textId="77777777" w:rsidR="008117AC" w:rsidRDefault="008117AC">
      <w:r>
        <w:continuationSeparator/>
      </w:r>
    </w:p>
  </w:endnote>
  <w:endnote w:type="continuationNotice" w:id="1">
    <w:p w14:paraId="5AD6855C" w14:textId="77777777" w:rsidR="008117AC" w:rsidRDefault="008117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Meiryo"/>
    <w:panose1 w:val="02010600030101010101"/>
    <w:charset w:val="86"/>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A40FC" w14:textId="1B52552B" w:rsidR="00F373F5" w:rsidRDefault="00F373F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B6BD2">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B6BD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2D7FE8" w14:textId="77777777" w:rsidR="008117AC" w:rsidRDefault="008117AC">
      <w:r>
        <w:separator/>
      </w:r>
    </w:p>
  </w:footnote>
  <w:footnote w:type="continuationSeparator" w:id="0">
    <w:p w14:paraId="46333291" w14:textId="77777777" w:rsidR="008117AC" w:rsidRDefault="008117AC">
      <w:r>
        <w:continuationSeparator/>
      </w:r>
    </w:p>
  </w:footnote>
  <w:footnote w:type="continuationNotice" w:id="1">
    <w:p w14:paraId="52570D85" w14:textId="77777777" w:rsidR="008117AC" w:rsidRDefault="008117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509CF" w14:textId="77777777" w:rsidR="00F373F5" w:rsidRDefault="00F373F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453CE2"/>
    <w:multiLevelType w:val="hybridMultilevel"/>
    <w:tmpl w:val="4B6A9514"/>
    <w:lvl w:ilvl="0" w:tplc="2194719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F054F0"/>
    <w:multiLevelType w:val="hybridMultilevel"/>
    <w:tmpl w:val="2AB6F9EC"/>
    <w:lvl w:ilvl="0" w:tplc="84342E4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D1D5091"/>
    <w:multiLevelType w:val="hybridMultilevel"/>
    <w:tmpl w:val="099E6318"/>
    <w:lvl w:ilvl="0" w:tplc="FCB8AE8E">
      <w:start w:val="10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FC0097"/>
    <w:multiLevelType w:val="hybridMultilevel"/>
    <w:tmpl w:val="927E96E0"/>
    <w:lvl w:ilvl="0" w:tplc="7FAC48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030145"/>
    <w:multiLevelType w:val="hybridMultilevel"/>
    <w:tmpl w:val="87DEB392"/>
    <w:lvl w:ilvl="0" w:tplc="F4A6498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723E01A4"/>
    <w:multiLevelType w:val="hybridMultilevel"/>
    <w:tmpl w:val="C9A42CC4"/>
    <w:lvl w:ilvl="0" w:tplc="80246AE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1"/>
  </w:num>
  <w:num w:numId="4">
    <w:abstractNumId w:val="12"/>
  </w:num>
  <w:num w:numId="5">
    <w:abstractNumId w:val="9"/>
  </w:num>
  <w:num w:numId="6">
    <w:abstractNumId w:val="13"/>
  </w:num>
  <w:num w:numId="7">
    <w:abstractNumId w:val="17"/>
  </w:num>
  <w:num w:numId="8">
    <w:abstractNumId w:val="10"/>
  </w:num>
  <w:num w:numId="9">
    <w:abstractNumId w:val="8"/>
  </w:num>
  <w:num w:numId="10">
    <w:abstractNumId w:val="3"/>
  </w:num>
  <w:num w:numId="11">
    <w:abstractNumId w:val="2"/>
  </w:num>
  <w:num w:numId="12">
    <w:abstractNumId w:val="1"/>
  </w:num>
  <w:num w:numId="13">
    <w:abstractNumId w:val="16"/>
  </w:num>
  <w:num w:numId="14">
    <w:abstractNumId w:val="0"/>
  </w:num>
  <w:num w:numId="15">
    <w:abstractNumId w:val="19"/>
  </w:num>
  <w:num w:numId="16">
    <w:abstractNumId w:val="7"/>
  </w:num>
  <w:num w:numId="17">
    <w:abstractNumId w:val="18"/>
  </w:num>
  <w:num w:numId="18">
    <w:abstractNumId w:val="20"/>
  </w:num>
  <w:num w:numId="19">
    <w:abstractNumId w:val="5"/>
  </w:num>
  <w:num w:numId="20">
    <w:abstractNumId w:val="14"/>
  </w:num>
  <w:num w:numId="2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i-FI"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9F4"/>
    <w:rsid w:val="00006446"/>
    <w:rsid w:val="00006896"/>
    <w:rsid w:val="00007CDC"/>
    <w:rsid w:val="00010926"/>
    <w:rsid w:val="00011B28"/>
    <w:rsid w:val="00015D15"/>
    <w:rsid w:val="0002564D"/>
    <w:rsid w:val="00025ECA"/>
    <w:rsid w:val="00026B13"/>
    <w:rsid w:val="000325B8"/>
    <w:rsid w:val="00034C15"/>
    <w:rsid w:val="00036BA1"/>
    <w:rsid w:val="000422E2"/>
    <w:rsid w:val="00042F22"/>
    <w:rsid w:val="000444EF"/>
    <w:rsid w:val="00052A07"/>
    <w:rsid w:val="000534E3"/>
    <w:rsid w:val="00053E70"/>
    <w:rsid w:val="0005606A"/>
    <w:rsid w:val="00057117"/>
    <w:rsid w:val="000616E7"/>
    <w:rsid w:val="0006487E"/>
    <w:rsid w:val="00065E1A"/>
    <w:rsid w:val="000742DD"/>
    <w:rsid w:val="00077E5F"/>
    <w:rsid w:val="0008036A"/>
    <w:rsid w:val="00081AE6"/>
    <w:rsid w:val="000855EB"/>
    <w:rsid w:val="00085B52"/>
    <w:rsid w:val="000866F2"/>
    <w:rsid w:val="0009009F"/>
    <w:rsid w:val="00090B2D"/>
    <w:rsid w:val="00091557"/>
    <w:rsid w:val="00091F37"/>
    <w:rsid w:val="000924C1"/>
    <w:rsid w:val="000924F0"/>
    <w:rsid w:val="00093474"/>
    <w:rsid w:val="0009510F"/>
    <w:rsid w:val="000A1B7B"/>
    <w:rsid w:val="000A56F2"/>
    <w:rsid w:val="000B2719"/>
    <w:rsid w:val="000B3A8F"/>
    <w:rsid w:val="000B4AB9"/>
    <w:rsid w:val="000B58C3"/>
    <w:rsid w:val="000B61E9"/>
    <w:rsid w:val="000C165A"/>
    <w:rsid w:val="000C2E19"/>
    <w:rsid w:val="000C5A36"/>
    <w:rsid w:val="000D0D07"/>
    <w:rsid w:val="000D4797"/>
    <w:rsid w:val="000E0527"/>
    <w:rsid w:val="000E1E92"/>
    <w:rsid w:val="000F06D6"/>
    <w:rsid w:val="000F0EB1"/>
    <w:rsid w:val="000F1106"/>
    <w:rsid w:val="000F3BE9"/>
    <w:rsid w:val="000F3F6C"/>
    <w:rsid w:val="000F6DF3"/>
    <w:rsid w:val="001005FF"/>
    <w:rsid w:val="001062FB"/>
    <w:rsid w:val="001063E6"/>
    <w:rsid w:val="00107F2D"/>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DAD"/>
    <w:rsid w:val="00151E23"/>
    <w:rsid w:val="0015202B"/>
    <w:rsid w:val="001526E0"/>
    <w:rsid w:val="001551B5"/>
    <w:rsid w:val="001659C1"/>
    <w:rsid w:val="001735EE"/>
    <w:rsid w:val="00173A8E"/>
    <w:rsid w:val="00177795"/>
    <w:rsid w:val="0018143F"/>
    <w:rsid w:val="001824F0"/>
    <w:rsid w:val="00190AC1"/>
    <w:rsid w:val="0019341A"/>
    <w:rsid w:val="00197DF9"/>
    <w:rsid w:val="001A1987"/>
    <w:rsid w:val="001A2564"/>
    <w:rsid w:val="001A6173"/>
    <w:rsid w:val="001A6CBA"/>
    <w:rsid w:val="001B0D97"/>
    <w:rsid w:val="001B33C2"/>
    <w:rsid w:val="001B5A5D"/>
    <w:rsid w:val="001C1CE5"/>
    <w:rsid w:val="001C3D2A"/>
    <w:rsid w:val="001D51BA"/>
    <w:rsid w:val="001D6342"/>
    <w:rsid w:val="001D6D53"/>
    <w:rsid w:val="001E58E2"/>
    <w:rsid w:val="001E7704"/>
    <w:rsid w:val="001E7AED"/>
    <w:rsid w:val="001F3916"/>
    <w:rsid w:val="001F54C5"/>
    <w:rsid w:val="001F662C"/>
    <w:rsid w:val="001F7074"/>
    <w:rsid w:val="00200490"/>
    <w:rsid w:val="00201F3A"/>
    <w:rsid w:val="00203F96"/>
    <w:rsid w:val="002069B2"/>
    <w:rsid w:val="00207FA3"/>
    <w:rsid w:val="002125E2"/>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31F9"/>
    <w:rsid w:val="00286ACD"/>
    <w:rsid w:val="00287838"/>
    <w:rsid w:val="002907B5"/>
    <w:rsid w:val="00292EB7"/>
    <w:rsid w:val="00296227"/>
    <w:rsid w:val="00296755"/>
    <w:rsid w:val="00296F44"/>
    <w:rsid w:val="0029777D"/>
    <w:rsid w:val="002A055E"/>
    <w:rsid w:val="002A1D4E"/>
    <w:rsid w:val="002A2869"/>
    <w:rsid w:val="002A4A3A"/>
    <w:rsid w:val="002B24D6"/>
    <w:rsid w:val="002C41E6"/>
    <w:rsid w:val="002D071A"/>
    <w:rsid w:val="002D34B2"/>
    <w:rsid w:val="002D7637"/>
    <w:rsid w:val="002E1229"/>
    <w:rsid w:val="002E17F2"/>
    <w:rsid w:val="002E7CAE"/>
    <w:rsid w:val="002F2771"/>
    <w:rsid w:val="002F37A9"/>
    <w:rsid w:val="00301CE6"/>
    <w:rsid w:val="0030256B"/>
    <w:rsid w:val="003044B5"/>
    <w:rsid w:val="0030501F"/>
    <w:rsid w:val="0030508D"/>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13D"/>
    <w:rsid w:val="00357380"/>
    <w:rsid w:val="003602D9"/>
    <w:rsid w:val="003604CE"/>
    <w:rsid w:val="00370E47"/>
    <w:rsid w:val="003742AC"/>
    <w:rsid w:val="0037675B"/>
    <w:rsid w:val="00377CE1"/>
    <w:rsid w:val="00383AD8"/>
    <w:rsid w:val="00385BF0"/>
    <w:rsid w:val="00385CD2"/>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3232"/>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34CE"/>
    <w:rsid w:val="004669E2"/>
    <w:rsid w:val="00470C31"/>
    <w:rsid w:val="004734D0"/>
    <w:rsid w:val="0047556B"/>
    <w:rsid w:val="00477768"/>
    <w:rsid w:val="00492BC5"/>
    <w:rsid w:val="004964F1"/>
    <w:rsid w:val="004A16BC"/>
    <w:rsid w:val="004A2B94"/>
    <w:rsid w:val="004B7C0C"/>
    <w:rsid w:val="004C3898"/>
    <w:rsid w:val="004D0256"/>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729B9"/>
    <w:rsid w:val="00575754"/>
    <w:rsid w:val="00575A50"/>
    <w:rsid w:val="00580089"/>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2274"/>
    <w:rsid w:val="00643475"/>
    <w:rsid w:val="0064396A"/>
    <w:rsid w:val="00645381"/>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C4A"/>
    <w:rsid w:val="006A46FB"/>
    <w:rsid w:val="006A5E28"/>
    <w:rsid w:val="006A697B"/>
    <w:rsid w:val="006A7AFF"/>
    <w:rsid w:val="006B1816"/>
    <w:rsid w:val="006B1C6E"/>
    <w:rsid w:val="006B2099"/>
    <w:rsid w:val="006B50CF"/>
    <w:rsid w:val="006B6BD2"/>
    <w:rsid w:val="006C03B8"/>
    <w:rsid w:val="006C274D"/>
    <w:rsid w:val="006C5EC9"/>
    <w:rsid w:val="006C6059"/>
    <w:rsid w:val="006C7522"/>
    <w:rsid w:val="006D6F08"/>
    <w:rsid w:val="006E062C"/>
    <w:rsid w:val="006E1EAE"/>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2B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6DAE"/>
    <w:rsid w:val="007B6F2D"/>
    <w:rsid w:val="007C05DD"/>
    <w:rsid w:val="007C3D18"/>
    <w:rsid w:val="007C60BF"/>
    <w:rsid w:val="007C6A07"/>
    <w:rsid w:val="007C75A1"/>
    <w:rsid w:val="007C77A5"/>
    <w:rsid w:val="007D04E5"/>
    <w:rsid w:val="007D5901"/>
    <w:rsid w:val="007D7526"/>
    <w:rsid w:val="007E4610"/>
    <w:rsid w:val="007E4715"/>
    <w:rsid w:val="007E505B"/>
    <w:rsid w:val="007E511C"/>
    <w:rsid w:val="007E7091"/>
    <w:rsid w:val="007F1578"/>
    <w:rsid w:val="0080191B"/>
    <w:rsid w:val="00803FAE"/>
    <w:rsid w:val="0080605F"/>
    <w:rsid w:val="00807786"/>
    <w:rsid w:val="00807E8E"/>
    <w:rsid w:val="008117AC"/>
    <w:rsid w:val="00811FCB"/>
    <w:rsid w:val="008158D6"/>
    <w:rsid w:val="00817196"/>
    <w:rsid w:val="008235DB"/>
    <w:rsid w:val="008244FC"/>
    <w:rsid w:val="00824AB4"/>
    <w:rsid w:val="00825C42"/>
    <w:rsid w:val="00825D25"/>
    <w:rsid w:val="00827D6F"/>
    <w:rsid w:val="008324EE"/>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633"/>
    <w:rsid w:val="008A2CE2"/>
    <w:rsid w:val="008A30AC"/>
    <w:rsid w:val="008A44B8"/>
    <w:rsid w:val="008A51A8"/>
    <w:rsid w:val="008A54C7"/>
    <w:rsid w:val="008A77D8"/>
    <w:rsid w:val="008B0483"/>
    <w:rsid w:val="008B120C"/>
    <w:rsid w:val="008B51A0"/>
    <w:rsid w:val="008B592A"/>
    <w:rsid w:val="008B60BE"/>
    <w:rsid w:val="008B7B5C"/>
    <w:rsid w:val="008C0C99"/>
    <w:rsid w:val="008C2017"/>
    <w:rsid w:val="008C4958"/>
    <w:rsid w:val="008C4BAA"/>
    <w:rsid w:val="008C6AE8"/>
    <w:rsid w:val="008C7573"/>
    <w:rsid w:val="008D34F1"/>
    <w:rsid w:val="008D39D8"/>
    <w:rsid w:val="008D6D1A"/>
    <w:rsid w:val="008E065E"/>
    <w:rsid w:val="008E0927"/>
    <w:rsid w:val="008E1909"/>
    <w:rsid w:val="008F045E"/>
    <w:rsid w:val="008F1EAB"/>
    <w:rsid w:val="008F33DC"/>
    <w:rsid w:val="008F477F"/>
    <w:rsid w:val="009006DE"/>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499"/>
    <w:rsid w:val="00940796"/>
    <w:rsid w:val="00941636"/>
    <w:rsid w:val="00943742"/>
    <w:rsid w:val="0094573A"/>
    <w:rsid w:val="00945C05"/>
    <w:rsid w:val="00946945"/>
    <w:rsid w:val="00947713"/>
    <w:rsid w:val="00950DE7"/>
    <w:rsid w:val="00952778"/>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DA7"/>
    <w:rsid w:val="00990630"/>
    <w:rsid w:val="00991761"/>
    <w:rsid w:val="00994DCA"/>
    <w:rsid w:val="009960EC"/>
    <w:rsid w:val="009963C1"/>
    <w:rsid w:val="009970DD"/>
    <w:rsid w:val="009A05DD"/>
    <w:rsid w:val="009A0FBA"/>
    <w:rsid w:val="009A1601"/>
    <w:rsid w:val="009A462D"/>
    <w:rsid w:val="009A5CBA"/>
    <w:rsid w:val="009B1F30"/>
    <w:rsid w:val="009B28D9"/>
    <w:rsid w:val="009B3AC2"/>
    <w:rsid w:val="009B4DF4"/>
    <w:rsid w:val="009B564E"/>
    <w:rsid w:val="009B7E87"/>
    <w:rsid w:val="009C21B2"/>
    <w:rsid w:val="009C403E"/>
    <w:rsid w:val="009D0D93"/>
    <w:rsid w:val="009D4FF0"/>
    <w:rsid w:val="009D703C"/>
    <w:rsid w:val="009D718F"/>
    <w:rsid w:val="009E068F"/>
    <w:rsid w:val="009E14E0"/>
    <w:rsid w:val="009E35DB"/>
    <w:rsid w:val="009E47A3"/>
    <w:rsid w:val="009F08F3"/>
    <w:rsid w:val="009F344F"/>
    <w:rsid w:val="00A048A8"/>
    <w:rsid w:val="00A04F49"/>
    <w:rsid w:val="00A11690"/>
    <w:rsid w:val="00A13E54"/>
    <w:rsid w:val="00A17F63"/>
    <w:rsid w:val="00A2176F"/>
    <w:rsid w:val="00A2193B"/>
    <w:rsid w:val="00A2351A"/>
    <w:rsid w:val="00A264A9"/>
    <w:rsid w:val="00A27785"/>
    <w:rsid w:val="00A30187"/>
    <w:rsid w:val="00A3448A"/>
    <w:rsid w:val="00A36297"/>
    <w:rsid w:val="00A41E2B"/>
    <w:rsid w:val="00A45B74"/>
    <w:rsid w:val="00A45C96"/>
    <w:rsid w:val="00A52E1D"/>
    <w:rsid w:val="00A578E7"/>
    <w:rsid w:val="00A61499"/>
    <w:rsid w:val="00A62A77"/>
    <w:rsid w:val="00A63483"/>
    <w:rsid w:val="00A657D7"/>
    <w:rsid w:val="00A660AC"/>
    <w:rsid w:val="00A67E6C"/>
    <w:rsid w:val="00A71B99"/>
    <w:rsid w:val="00A739D0"/>
    <w:rsid w:val="00A761D4"/>
    <w:rsid w:val="00A77EC4"/>
    <w:rsid w:val="00A8481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0D3A"/>
    <w:rsid w:val="00B157F9"/>
    <w:rsid w:val="00B20256"/>
    <w:rsid w:val="00B20D09"/>
    <w:rsid w:val="00B25DDF"/>
    <w:rsid w:val="00B2763F"/>
    <w:rsid w:val="00B27AAC"/>
    <w:rsid w:val="00B30929"/>
    <w:rsid w:val="00B30ECC"/>
    <w:rsid w:val="00B372AA"/>
    <w:rsid w:val="00B40445"/>
    <w:rsid w:val="00B41888"/>
    <w:rsid w:val="00B42791"/>
    <w:rsid w:val="00B45A52"/>
    <w:rsid w:val="00B46175"/>
    <w:rsid w:val="00B6188F"/>
    <w:rsid w:val="00B664C7"/>
    <w:rsid w:val="00B739F6"/>
    <w:rsid w:val="00B73A5C"/>
    <w:rsid w:val="00B81A6C"/>
    <w:rsid w:val="00B85DE5"/>
    <w:rsid w:val="00B87618"/>
    <w:rsid w:val="00B90F73"/>
    <w:rsid w:val="00B93B59"/>
    <w:rsid w:val="00B9406A"/>
    <w:rsid w:val="00BA2280"/>
    <w:rsid w:val="00BA2A08"/>
    <w:rsid w:val="00BA3EB5"/>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2C4B"/>
    <w:rsid w:val="00BF3279"/>
    <w:rsid w:val="00BF6BCE"/>
    <w:rsid w:val="00BF74C7"/>
    <w:rsid w:val="00C015F1"/>
    <w:rsid w:val="00C01F33"/>
    <w:rsid w:val="00C02CC6"/>
    <w:rsid w:val="00C040F7"/>
    <w:rsid w:val="00C041B0"/>
    <w:rsid w:val="00C044AB"/>
    <w:rsid w:val="00C05706"/>
    <w:rsid w:val="00C07377"/>
    <w:rsid w:val="00C10478"/>
    <w:rsid w:val="00C117B8"/>
    <w:rsid w:val="00C12107"/>
    <w:rsid w:val="00C14D4B"/>
    <w:rsid w:val="00C154BB"/>
    <w:rsid w:val="00C24345"/>
    <w:rsid w:val="00C24B74"/>
    <w:rsid w:val="00C279B5"/>
    <w:rsid w:val="00C27C45"/>
    <w:rsid w:val="00C3719D"/>
    <w:rsid w:val="00C467B8"/>
    <w:rsid w:val="00C54995"/>
    <w:rsid w:val="00C54D41"/>
    <w:rsid w:val="00C60783"/>
    <w:rsid w:val="00C64672"/>
    <w:rsid w:val="00C70697"/>
    <w:rsid w:val="00C711B3"/>
    <w:rsid w:val="00C72EF4"/>
    <w:rsid w:val="00C74A02"/>
    <w:rsid w:val="00C75D2F"/>
    <w:rsid w:val="00C767BE"/>
    <w:rsid w:val="00C76E3C"/>
    <w:rsid w:val="00C80A02"/>
    <w:rsid w:val="00C81568"/>
    <w:rsid w:val="00C9027A"/>
    <w:rsid w:val="00C9068E"/>
    <w:rsid w:val="00C93C4B"/>
    <w:rsid w:val="00C944AB"/>
    <w:rsid w:val="00C95B40"/>
    <w:rsid w:val="00CA1ED8"/>
    <w:rsid w:val="00CA5642"/>
    <w:rsid w:val="00CB1F63"/>
    <w:rsid w:val="00CB7170"/>
    <w:rsid w:val="00CC040E"/>
    <w:rsid w:val="00CC111F"/>
    <w:rsid w:val="00CC2011"/>
    <w:rsid w:val="00CC3EA0"/>
    <w:rsid w:val="00CC7B45"/>
    <w:rsid w:val="00CD1188"/>
    <w:rsid w:val="00CD2ED1"/>
    <w:rsid w:val="00CD337B"/>
    <w:rsid w:val="00CE0424"/>
    <w:rsid w:val="00CE15F5"/>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7AE8"/>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5F52"/>
    <w:rsid w:val="00D77B1D"/>
    <w:rsid w:val="00D8021F"/>
    <w:rsid w:val="00D80383"/>
    <w:rsid w:val="00D81A57"/>
    <w:rsid w:val="00D823C6"/>
    <w:rsid w:val="00D86CA3"/>
    <w:rsid w:val="00D871CE"/>
    <w:rsid w:val="00D9196D"/>
    <w:rsid w:val="00D921BF"/>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333C"/>
    <w:rsid w:val="00E2516D"/>
    <w:rsid w:val="00E25271"/>
    <w:rsid w:val="00E25CE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D4C22"/>
    <w:rsid w:val="00EE4864"/>
    <w:rsid w:val="00EF0B8F"/>
    <w:rsid w:val="00EF18FE"/>
    <w:rsid w:val="00EF5787"/>
    <w:rsid w:val="00EF60D0"/>
    <w:rsid w:val="00F0528D"/>
    <w:rsid w:val="00F06C67"/>
    <w:rsid w:val="00F06DFD"/>
    <w:rsid w:val="00F071D1"/>
    <w:rsid w:val="00F07533"/>
    <w:rsid w:val="00F10629"/>
    <w:rsid w:val="00F15FA5"/>
    <w:rsid w:val="00F205C9"/>
    <w:rsid w:val="00F209B7"/>
    <w:rsid w:val="00F2376F"/>
    <w:rsid w:val="00F243D8"/>
    <w:rsid w:val="00F30828"/>
    <w:rsid w:val="00F313D6"/>
    <w:rsid w:val="00F3257B"/>
    <w:rsid w:val="00F373F5"/>
    <w:rsid w:val="00F40F0C"/>
    <w:rsid w:val="00F4766C"/>
    <w:rsid w:val="00F507D1"/>
    <w:rsid w:val="00F519CE"/>
    <w:rsid w:val="00F51ADA"/>
    <w:rsid w:val="00F57A6B"/>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242"/>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docId w15:val="{B5E81317-59F6-41D1-BB5B-D46C7BA74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729B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729B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729B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729B9"/>
    <w:pPr>
      <w:numPr>
        <w:ilvl w:val="2"/>
      </w:numPr>
      <w:spacing w:before="120"/>
      <w:outlineLvl w:val="2"/>
    </w:pPr>
    <w:rPr>
      <w:sz w:val="28"/>
      <w:szCs w:val="28"/>
    </w:rPr>
  </w:style>
  <w:style w:type="paragraph" w:styleId="Heading4">
    <w:name w:val="heading 4"/>
    <w:basedOn w:val="Heading3"/>
    <w:next w:val="Normal"/>
    <w:qFormat/>
    <w:rsid w:val="005729B9"/>
    <w:pPr>
      <w:numPr>
        <w:ilvl w:val="3"/>
      </w:numPr>
      <w:outlineLvl w:val="3"/>
    </w:pPr>
    <w:rPr>
      <w:sz w:val="24"/>
      <w:szCs w:val="24"/>
    </w:rPr>
  </w:style>
  <w:style w:type="paragraph" w:styleId="Heading5">
    <w:name w:val="heading 5"/>
    <w:basedOn w:val="Heading4"/>
    <w:next w:val="Normal"/>
    <w:qFormat/>
    <w:rsid w:val="005729B9"/>
    <w:pPr>
      <w:numPr>
        <w:ilvl w:val="4"/>
      </w:numPr>
      <w:outlineLvl w:val="4"/>
    </w:pPr>
    <w:rPr>
      <w:sz w:val="22"/>
      <w:szCs w:val="22"/>
    </w:rPr>
  </w:style>
  <w:style w:type="paragraph" w:styleId="Heading6">
    <w:name w:val="heading 6"/>
    <w:basedOn w:val="Normal"/>
    <w:next w:val="Normal"/>
    <w:qFormat/>
    <w:rsid w:val="005729B9"/>
    <w:pPr>
      <w:keepNext/>
      <w:keepLines/>
      <w:numPr>
        <w:ilvl w:val="5"/>
        <w:numId w:val="1"/>
      </w:numPr>
      <w:spacing w:before="120"/>
      <w:outlineLvl w:val="5"/>
    </w:pPr>
    <w:rPr>
      <w:rFonts w:cs="Arial"/>
    </w:rPr>
  </w:style>
  <w:style w:type="paragraph" w:styleId="Heading7">
    <w:name w:val="heading 7"/>
    <w:basedOn w:val="Normal"/>
    <w:next w:val="Normal"/>
    <w:qFormat/>
    <w:rsid w:val="005729B9"/>
    <w:pPr>
      <w:keepNext/>
      <w:keepLines/>
      <w:numPr>
        <w:ilvl w:val="6"/>
        <w:numId w:val="1"/>
      </w:numPr>
      <w:spacing w:before="120"/>
      <w:outlineLvl w:val="6"/>
    </w:pPr>
    <w:rPr>
      <w:rFonts w:cs="Arial"/>
    </w:rPr>
  </w:style>
  <w:style w:type="paragraph" w:styleId="Heading8">
    <w:name w:val="heading 8"/>
    <w:basedOn w:val="Heading7"/>
    <w:next w:val="Normal"/>
    <w:qFormat/>
    <w:rsid w:val="005729B9"/>
    <w:pPr>
      <w:numPr>
        <w:ilvl w:val="7"/>
      </w:numPr>
      <w:outlineLvl w:val="7"/>
    </w:pPr>
  </w:style>
  <w:style w:type="paragraph" w:styleId="Heading9">
    <w:name w:val="heading 9"/>
    <w:basedOn w:val="Heading8"/>
    <w:next w:val="Normal"/>
    <w:qFormat/>
    <w:rsid w:val="005729B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729B9"/>
    <w:pPr>
      <w:spacing w:before="180"/>
      <w:ind w:left="2693" w:hanging="2693"/>
    </w:pPr>
    <w:rPr>
      <w:b w:val="0"/>
      <w:bCs/>
    </w:rPr>
  </w:style>
  <w:style w:type="paragraph" w:styleId="TOC1">
    <w:name w:val="toc 1"/>
    <w:aliases w:val="Observation TOC2"/>
    <w:uiPriority w:val="39"/>
    <w:rsid w:val="005729B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729B9"/>
    <w:pPr>
      <w:keepNext/>
      <w:keepLines/>
      <w:spacing w:before="180"/>
      <w:jc w:val="center"/>
    </w:pPr>
  </w:style>
  <w:style w:type="paragraph" w:styleId="Caption">
    <w:name w:val="caption"/>
    <w:basedOn w:val="Normal"/>
    <w:next w:val="Normal"/>
    <w:qFormat/>
    <w:rsid w:val="005729B9"/>
    <w:pPr>
      <w:spacing w:after="240"/>
      <w:jc w:val="center"/>
    </w:pPr>
    <w:rPr>
      <w:b/>
      <w:bCs/>
    </w:rPr>
  </w:style>
  <w:style w:type="paragraph" w:styleId="TOC5">
    <w:name w:val="toc 5"/>
    <w:aliases w:val="Observation TOC"/>
    <w:basedOn w:val="TOC4"/>
    <w:semiHidden/>
    <w:rsid w:val="005729B9"/>
    <w:pPr>
      <w:tabs>
        <w:tab w:val="right" w:pos="1701"/>
      </w:tabs>
      <w:ind w:left="1701" w:hanging="1701"/>
    </w:pPr>
  </w:style>
  <w:style w:type="paragraph" w:styleId="TOC4">
    <w:name w:val="toc 4"/>
    <w:basedOn w:val="TOC3"/>
    <w:semiHidden/>
    <w:rsid w:val="005729B9"/>
    <w:pPr>
      <w:ind w:left="1418" w:hanging="1418"/>
    </w:pPr>
  </w:style>
  <w:style w:type="paragraph" w:styleId="TOC3">
    <w:name w:val="toc 3"/>
    <w:basedOn w:val="TOC2"/>
    <w:semiHidden/>
    <w:rsid w:val="005729B9"/>
    <w:pPr>
      <w:ind w:left="1134" w:hanging="1134"/>
    </w:pPr>
  </w:style>
  <w:style w:type="paragraph" w:styleId="TOC2">
    <w:name w:val="toc 2"/>
    <w:basedOn w:val="TOC1"/>
    <w:semiHidden/>
    <w:rsid w:val="005729B9"/>
    <w:pPr>
      <w:keepNext w:val="0"/>
      <w:spacing w:before="0"/>
      <w:ind w:left="851" w:hanging="851"/>
    </w:pPr>
    <w:rPr>
      <w:szCs w:val="20"/>
    </w:rPr>
  </w:style>
  <w:style w:type="paragraph" w:styleId="Index2">
    <w:name w:val="index 2"/>
    <w:basedOn w:val="Index1"/>
    <w:semiHidden/>
    <w:rsid w:val="005729B9"/>
    <w:pPr>
      <w:ind w:left="284"/>
    </w:pPr>
  </w:style>
  <w:style w:type="paragraph" w:styleId="Index1">
    <w:name w:val="index 1"/>
    <w:basedOn w:val="Normal"/>
    <w:semiHidden/>
    <w:rsid w:val="005729B9"/>
    <w:pPr>
      <w:keepLines/>
      <w:spacing w:after="0"/>
    </w:pPr>
  </w:style>
  <w:style w:type="paragraph" w:styleId="DocumentMap">
    <w:name w:val="Document Map"/>
    <w:basedOn w:val="Normal"/>
    <w:semiHidden/>
    <w:rsid w:val="005729B9"/>
    <w:pPr>
      <w:shd w:val="clear" w:color="auto" w:fill="000080"/>
    </w:pPr>
    <w:rPr>
      <w:rFonts w:ascii="Tahoma" w:hAnsi="Tahoma" w:cs="Tahoma"/>
    </w:rPr>
  </w:style>
  <w:style w:type="paragraph" w:styleId="ListNumber2">
    <w:name w:val="List Number 2"/>
    <w:basedOn w:val="ListNumber"/>
    <w:rsid w:val="005729B9"/>
    <w:pPr>
      <w:ind w:left="851"/>
    </w:pPr>
  </w:style>
  <w:style w:type="paragraph" w:styleId="ListNumber">
    <w:name w:val="List Number"/>
    <w:basedOn w:val="List"/>
    <w:rsid w:val="005729B9"/>
  </w:style>
  <w:style w:type="paragraph" w:styleId="List">
    <w:name w:val="List"/>
    <w:basedOn w:val="Normal"/>
    <w:rsid w:val="005729B9"/>
    <w:pPr>
      <w:ind w:left="568" w:hanging="284"/>
    </w:pPr>
  </w:style>
  <w:style w:type="paragraph" w:styleId="Header">
    <w:name w:val="header"/>
    <w:rsid w:val="005729B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729B9"/>
    <w:rPr>
      <w:b/>
      <w:bCs/>
      <w:position w:val="6"/>
      <w:sz w:val="16"/>
      <w:szCs w:val="16"/>
    </w:rPr>
  </w:style>
  <w:style w:type="paragraph" w:styleId="FootnoteText">
    <w:name w:val="footnote text"/>
    <w:basedOn w:val="Normal"/>
    <w:semiHidden/>
    <w:rsid w:val="005729B9"/>
    <w:pPr>
      <w:keepLines/>
      <w:spacing w:after="0"/>
      <w:ind w:left="454" w:hanging="454"/>
    </w:pPr>
    <w:rPr>
      <w:sz w:val="16"/>
      <w:szCs w:val="16"/>
    </w:rPr>
  </w:style>
  <w:style w:type="paragraph" w:customStyle="1" w:styleId="3GPPHeader">
    <w:name w:val="3GPP_Header"/>
    <w:basedOn w:val="Normal"/>
    <w:rsid w:val="005729B9"/>
    <w:pPr>
      <w:tabs>
        <w:tab w:val="left" w:pos="1701"/>
        <w:tab w:val="right" w:pos="9639"/>
      </w:tabs>
      <w:spacing w:after="240"/>
    </w:pPr>
    <w:rPr>
      <w:b/>
      <w:sz w:val="24"/>
    </w:rPr>
  </w:style>
  <w:style w:type="paragraph" w:styleId="TOC9">
    <w:name w:val="toc 9"/>
    <w:basedOn w:val="TOC8"/>
    <w:semiHidden/>
    <w:rsid w:val="005729B9"/>
    <w:pPr>
      <w:ind w:left="1418" w:hanging="1418"/>
    </w:pPr>
  </w:style>
  <w:style w:type="paragraph" w:styleId="TOC6">
    <w:name w:val="toc 6"/>
    <w:basedOn w:val="TOC5"/>
    <w:next w:val="Normal"/>
    <w:semiHidden/>
    <w:rsid w:val="005729B9"/>
    <w:pPr>
      <w:ind w:left="1985" w:hanging="1985"/>
    </w:pPr>
  </w:style>
  <w:style w:type="paragraph" w:styleId="TOC7">
    <w:name w:val="toc 7"/>
    <w:basedOn w:val="TOC6"/>
    <w:next w:val="Normal"/>
    <w:semiHidden/>
    <w:rsid w:val="005729B9"/>
    <w:pPr>
      <w:ind w:left="2268" w:hanging="2268"/>
    </w:pPr>
  </w:style>
  <w:style w:type="paragraph" w:styleId="ListBullet2">
    <w:name w:val="List Bullet 2"/>
    <w:basedOn w:val="ListBullet"/>
    <w:rsid w:val="005729B9"/>
    <w:pPr>
      <w:numPr>
        <w:numId w:val="6"/>
      </w:numPr>
    </w:pPr>
  </w:style>
  <w:style w:type="paragraph" w:styleId="ListBullet">
    <w:name w:val="List Bullet"/>
    <w:basedOn w:val="BodyText"/>
    <w:rsid w:val="005729B9"/>
    <w:pPr>
      <w:numPr>
        <w:numId w:val="5"/>
      </w:numPr>
    </w:pPr>
  </w:style>
  <w:style w:type="paragraph" w:styleId="ListBullet3">
    <w:name w:val="List Bullet 3"/>
    <w:basedOn w:val="ListBullet2"/>
    <w:rsid w:val="005729B9"/>
    <w:pPr>
      <w:numPr>
        <w:numId w:val="7"/>
      </w:numPr>
    </w:pPr>
  </w:style>
  <w:style w:type="paragraph" w:customStyle="1" w:styleId="EQ">
    <w:name w:val="EQ"/>
    <w:basedOn w:val="Normal"/>
    <w:next w:val="Normal"/>
    <w:rsid w:val="005729B9"/>
    <w:pPr>
      <w:keepLines/>
      <w:tabs>
        <w:tab w:val="center" w:pos="4536"/>
        <w:tab w:val="right" w:pos="9072"/>
      </w:tabs>
      <w:spacing w:after="180"/>
      <w:jc w:val="left"/>
    </w:pPr>
    <w:rPr>
      <w:noProof/>
      <w:lang w:eastAsia="en-US"/>
    </w:rPr>
  </w:style>
  <w:style w:type="paragraph" w:styleId="List2">
    <w:name w:val="List 2"/>
    <w:basedOn w:val="List"/>
    <w:rsid w:val="005729B9"/>
    <w:pPr>
      <w:ind w:left="851"/>
    </w:pPr>
  </w:style>
  <w:style w:type="paragraph" w:styleId="List3">
    <w:name w:val="List 3"/>
    <w:basedOn w:val="List2"/>
    <w:rsid w:val="005729B9"/>
    <w:pPr>
      <w:ind w:left="1135"/>
    </w:pPr>
  </w:style>
  <w:style w:type="paragraph" w:styleId="List4">
    <w:name w:val="List 4"/>
    <w:basedOn w:val="List3"/>
    <w:rsid w:val="005729B9"/>
    <w:pPr>
      <w:ind w:left="1418"/>
    </w:pPr>
  </w:style>
  <w:style w:type="paragraph" w:styleId="List5">
    <w:name w:val="List 5"/>
    <w:basedOn w:val="List4"/>
    <w:rsid w:val="005729B9"/>
    <w:pPr>
      <w:ind w:left="1702"/>
    </w:pPr>
  </w:style>
  <w:style w:type="paragraph" w:customStyle="1" w:styleId="EditorsNote">
    <w:name w:val="Editor's Note"/>
    <w:basedOn w:val="Normal"/>
    <w:rsid w:val="005729B9"/>
    <w:pPr>
      <w:keepLines/>
      <w:spacing w:after="180"/>
      <w:ind w:left="1135" w:hanging="851"/>
      <w:jc w:val="left"/>
    </w:pPr>
    <w:rPr>
      <w:color w:val="FF0000"/>
      <w:lang w:eastAsia="en-US"/>
    </w:rPr>
  </w:style>
  <w:style w:type="paragraph" w:styleId="ListBullet4">
    <w:name w:val="List Bullet 4"/>
    <w:basedOn w:val="ListBullet3"/>
    <w:rsid w:val="005729B9"/>
    <w:pPr>
      <w:numPr>
        <w:numId w:val="8"/>
      </w:numPr>
    </w:pPr>
  </w:style>
  <w:style w:type="paragraph" w:styleId="ListBullet5">
    <w:name w:val="List Bullet 5"/>
    <w:basedOn w:val="ListBullet4"/>
    <w:rsid w:val="005729B9"/>
    <w:pPr>
      <w:numPr>
        <w:numId w:val="4"/>
      </w:numPr>
    </w:pPr>
  </w:style>
  <w:style w:type="paragraph" w:styleId="Footer">
    <w:name w:val="footer"/>
    <w:basedOn w:val="Header"/>
    <w:semiHidden/>
    <w:rsid w:val="005729B9"/>
    <w:pPr>
      <w:jc w:val="center"/>
    </w:pPr>
    <w:rPr>
      <w:i/>
      <w:iCs/>
    </w:rPr>
  </w:style>
  <w:style w:type="paragraph" w:customStyle="1" w:styleId="Reference">
    <w:name w:val="Reference"/>
    <w:basedOn w:val="Normal"/>
    <w:rsid w:val="005729B9"/>
    <w:pPr>
      <w:numPr>
        <w:numId w:val="2"/>
      </w:numPr>
    </w:pPr>
  </w:style>
  <w:style w:type="paragraph" w:styleId="BalloonText">
    <w:name w:val="Balloon Text"/>
    <w:basedOn w:val="Normal"/>
    <w:semiHidden/>
    <w:rsid w:val="005729B9"/>
    <w:rPr>
      <w:rFonts w:ascii="Tahoma" w:hAnsi="Tahoma" w:cs="Tahoma"/>
      <w:sz w:val="16"/>
      <w:szCs w:val="16"/>
    </w:rPr>
  </w:style>
  <w:style w:type="character" w:styleId="PageNumber">
    <w:name w:val="page number"/>
    <w:basedOn w:val="DefaultParagraphFont"/>
    <w:semiHidden/>
    <w:rsid w:val="005729B9"/>
  </w:style>
  <w:style w:type="paragraph" w:styleId="BodyText">
    <w:name w:val="Body Text"/>
    <w:basedOn w:val="Normal"/>
    <w:link w:val="BodyTextChar"/>
    <w:rsid w:val="005729B9"/>
  </w:style>
  <w:style w:type="character" w:styleId="Hyperlink">
    <w:name w:val="Hyperlink"/>
    <w:uiPriority w:val="99"/>
    <w:rsid w:val="005729B9"/>
    <w:rPr>
      <w:color w:val="0000FF"/>
      <w:u w:val="single"/>
      <w:lang w:val="en-GB"/>
    </w:rPr>
  </w:style>
  <w:style w:type="character" w:styleId="FollowedHyperlink">
    <w:name w:val="FollowedHyperlink"/>
    <w:semiHidden/>
    <w:rsid w:val="005729B9"/>
    <w:rPr>
      <w:color w:val="FF0000"/>
      <w:u w:val="single"/>
    </w:rPr>
  </w:style>
  <w:style w:type="character" w:styleId="CommentReference">
    <w:name w:val="annotation reference"/>
    <w:semiHidden/>
    <w:rsid w:val="005729B9"/>
    <w:rPr>
      <w:sz w:val="16"/>
      <w:szCs w:val="16"/>
    </w:rPr>
  </w:style>
  <w:style w:type="paragraph" w:styleId="CommentText">
    <w:name w:val="annotation text"/>
    <w:basedOn w:val="Normal"/>
    <w:semiHidden/>
    <w:rsid w:val="005729B9"/>
  </w:style>
  <w:style w:type="paragraph" w:styleId="CommentSubject">
    <w:name w:val="annotation subject"/>
    <w:basedOn w:val="CommentText"/>
    <w:next w:val="CommentText"/>
    <w:semiHidden/>
    <w:rsid w:val="005729B9"/>
    <w:rPr>
      <w:b/>
      <w:bCs/>
    </w:rPr>
  </w:style>
  <w:style w:type="character" w:customStyle="1" w:styleId="Heading1Char">
    <w:name w:val="Heading 1 Char"/>
    <w:link w:val="Heading1"/>
    <w:rsid w:val="005729B9"/>
    <w:rPr>
      <w:rFonts w:ascii="Arial" w:hAnsi="Arial" w:cs="Arial"/>
      <w:sz w:val="36"/>
      <w:szCs w:val="36"/>
      <w:lang w:val="en-GB" w:eastAsia="zh-CN"/>
    </w:rPr>
  </w:style>
  <w:style w:type="paragraph" w:customStyle="1" w:styleId="B1">
    <w:name w:val="B1"/>
    <w:basedOn w:val="List"/>
    <w:rsid w:val="005729B9"/>
    <w:pPr>
      <w:spacing w:after="180"/>
      <w:jc w:val="left"/>
    </w:pPr>
    <w:rPr>
      <w:lang w:eastAsia="en-US"/>
    </w:rPr>
  </w:style>
  <w:style w:type="paragraph" w:customStyle="1" w:styleId="B2">
    <w:name w:val="B2"/>
    <w:basedOn w:val="List2"/>
    <w:rsid w:val="005729B9"/>
    <w:pPr>
      <w:spacing w:after="180"/>
      <w:jc w:val="left"/>
    </w:pPr>
    <w:rPr>
      <w:lang w:eastAsia="en-US"/>
    </w:rPr>
  </w:style>
  <w:style w:type="paragraph" w:customStyle="1" w:styleId="B3">
    <w:name w:val="B3"/>
    <w:basedOn w:val="List3"/>
    <w:rsid w:val="005729B9"/>
    <w:pPr>
      <w:spacing w:after="180"/>
      <w:jc w:val="left"/>
    </w:pPr>
    <w:rPr>
      <w:lang w:eastAsia="en-US"/>
    </w:rPr>
  </w:style>
  <w:style w:type="paragraph" w:customStyle="1" w:styleId="B4">
    <w:name w:val="B4"/>
    <w:basedOn w:val="List4"/>
    <w:rsid w:val="005729B9"/>
    <w:pPr>
      <w:spacing w:after="180"/>
      <w:jc w:val="left"/>
    </w:pPr>
    <w:rPr>
      <w:lang w:eastAsia="en-US"/>
    </w:rPr>
  </w:style>
  <w:style w:type="paragraph" w:customStyle="1" w:styleId="Proposal">
    <w:name w:val="Proposal"/>
    <w:basedOn w:val="Normal"/>
    <w:rsid w:val="005729B9"/>
    <w:pPr>
      <w:numPr>
        <w:numId w:val="3"/>
      </w:numPr>
      <w:tabs>
        <w:tab w:val="clear" w:pos="1304"/>
        <w:tab w:val="left" w:pos="1701"/>
      </w:tabs>
      <w:ind w:left="1701" w:hanging="1701"/>
    </w:pPr>
    <w:rPr>
      <w:b/>
      <w:bCs/>
    </w:rPr>
  </w:style>
  <w:style w:type="character" w:customStyle="1" w:styleId="BodyTextChar">
    <w:name w:val="Body Text Char"/>
    <w:link w:val="BodyText"/>
    <w:rsid w:val="005729B9"/>
    <w:rPr>
      <w:rFonts w:ascii="Arial" w:hAnsi="Arial"/>
      <w:lang w:val="en-GB" w:eastAsia="zh-CN"/>
    </w:rPr>
  </w:style>
  <w:style w:type="paragraph" w:customStyle="1" w:styleId="B5">
    <w:name w:val="B5"/>
    <w:basedOn w:val="List5"/>
    <w:rsid w:val="005729B9"/>
    <w:pPr>
      <w:spacing w:after="180"/>
      <w:jc w:val="left"/>
    </w:pPr>
    <w:rPr>
      <w:lang w:eastAsia="en-US"/>
    </w:rPr>
  </w:style>
  <w:style w:type="paragraph" w:customStyle="1" w:styleId="EX">
    <w:name w:val="EX"/>
    <w:basedOn w:val="Normal"/>
    <w:rsid w:val="005729B9"/>
    <w:pPr>
      <w:keepLines/>
      <w:spacing w:after="180"/>
      <w:ind w:left="1702" w:hanging="1418"/>
      <w:jc w:val="left"/>
    </w:pPr>
    <w:rPr>
      <w:lang w:eastAsia="en-US"/>
    </w:rPr>
  </w:style>
  <w:style w:type="paragraph" w:customStyle="1" w:styleId="EW">
    <w:name w:val="EW"/>
    <w:basedOn w:val="EX"/>
    <w:rsid w:val="005729B9"/>
    <w:pPr>
      <w:spacing w:after="0"/>
    </w:pPr>
  </w:style>
  <w:style w:type="paragraph" w:customStyle="1" w:styleId="TAL">
    <w:name w:val="TAL"/>
    <w:basedOn w:val="Normal"/>
    <w:rsid w:val="005729B9"/>
    <w:pPr>
      <w:keepNext/>
      <w:keepLines/>
      <w:spacing w:after="0"/>
      <w:jc w:val="left"/>
    </w:pPr>
    <w:rPr>
      <w:sz w:val="18"/>
      <w:lang w:eastAsia="en-US"/>
    </w:rPr>
  </w:style>
  <w:style w:type="paragraph" w:customStyle="1" w:styleId="TAC">
    <w:name w:val="TAC"/>
    <w:basedOn w:val="TAL"/>
    <w:rsid w:val="005729B9"/>
    <w:pPr>
      <w:jc w:val="center"/>
    </w:pPr>
  </w:style>
  <w:style w:type="paragraph" w:customStyle="1" w:styleId="TAH">
    <w:name w:val="TAH"/>
    <w:basedOn w:val="TAC"/>
    <w:rsid w:val="005729B9"/>
    <w:rPr>
      <w:b/>
    </w:rPr>
  </w:style>
  <w:style w:type="paragraph" w:customStyle="1" w:styleId="TAN">
    <w:name w:val="TAN"/>
    <w:basedOn w:val="TAL"/>
    <w:rsid w:val="005729B9"/>
    <w:pPr>
      <w:ind w:left="851" w:hanging="851"/>
    </w:pPr>
  </w:style>
  <w:style w:type="paragraph" w:customStyle="1" w:styleId="TAR">
    <w:name w:val="TAR"/>
    <w:basedOn w:val="TAL"/>
    <w:rsid w:val="005729B9"/>
    <w:pPr>
      <w:jc w:val="right"/>
    </w:pPr>
  </w:style>
  <w:style w:type="paragraph" w:customStyle="1" w:styleId="TH">
    <w:name w:val="TH"/>
    <w:basedOn w:val="Normal"/>
    <w:rsid w:val="005729B9"/>
    <w:pPr>
      <w:keepNext/>
      <w:keepLines/>
      <w:spacing w:before="60" w:after="180"/>
      <w:jc w:val="center"/>
    </w:pPr>
    <w:rPr>
      <w:b/>
      <w:lang w:eastAsia="en-US"/>
    </w:rPr>
  </w:style>
  <w:style w:type="paragraph" w:customStyle="1" w:styleId="TF">
    <w:name w:val="TF"/>
    <w:basedOn w:val="TH"/>
    <w:rsid w:val="005729B9"/>
    <w:pPr>
      <w:keepNext w:val="0"/>
      <w:spacing w:before="0" w:after="240"/>
    </w:pPr>
  </w:style>
  <w:style w:type="paragraph" w:customStyle="1" w:styleId="TT">
    <w:name w:val="TT"/>
    <w:basedOn w:val="Heading1"/>
    <w:next w:val="Normal"/>
    <w:rsid w:val="005729B9"/>
    <w:pPr>
      <w:numPr>
        <w:numId w:val="0"/>
      </w:numPr>
      <w:ind w:left="1134" w:hanging="1134"/>
      <w:outlineLvl w:val="9"/>
    </w:pPr>
    <w:rPr>
      <w:rFonts w:cs="Times New Roman"/>
      <w:szCs w:val="20"/>
      <w:lang w:eastAsia="en-US"/>
    </w:rPr>
  </w:style>
  <w:style w:type="paragraph" w:customStyle="1" w:styleId="ZA">
    <w:name w:val="ZA"/>
    <w:rsid w:val="005729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29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29B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729B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729B9"/>
  </w:style>
  <w:style w:type="paragraph" w:customStyle="1" w:styleId="ZH">
    <w:name w:val="ZH"/>
    <w:rsid w:val="005729B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729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729B9"/>
    <w:pPr>
      <w:framePr w:hRule="auto" w:wrap="notBeside" w:y="852"/>
    </w:pPr>
    <w:rPr>
      <w:i w:val="0"/>
      <w:sz w:val="40"/>
    </w:rPr>
  </w:style>
  <w:style w:type="paragraph" w:customStyle="1" w:styleId="ZU">
    <w:name w:val="ZU"/>
    <w:rsid w:val="005729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29B9"/>
    <w:pPr>
      <w:framePr w:wrap="notBeside" w:y="16161"/>
    </w:pPr>
  </w:style>
  <w:style w:type="paragraph" w:customStyle="1" w:styleId="FP">
    <w:name w:val="FP"/>
    <w:basedOn w:val="Normal"/>
    <w:rsid w:val="005729B9"/>
    <w:pPr>
      <w:spacing w:after="0"/>
      <w:jc w:val="left"/>
    </w:pPr>
    <w:rPr>
      <w:lang w:eastAsia="en-US"/>
    </w:rPr>
  </w:style>
  <w:style w:type="paragraph" w:customStyle="1" w:styleId="Observation">
    <w:name w:val="Observation"/>
    <w:basedOn w:val="Proposal"/>
    <w:qFormat/>
    <w:rsid w:val="005729B9"/>
    <w:pPr>
      <w:numPr>
        <w:numId w:val="13"/>
      </w:numPr>
      <w:ind w:left="1701" w:hanging="1701"/>
    </w:pPr>
  </w:style>
  <w:style w:type="paragraph" w:styleId="TableofFigures">
    <w:name w:val="table of figures"/>
    <w:basedOn w:val="Normal"/>
    <w:next w:val="Normal"/>
    <w:uiPriority w:val="99"/>
    <w:rsid w:val="005729B9"/>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customStyle="1" w:styleId="TableGridLight1">
    <w:name w:val="Table Grid Light1"/>
    <w:basedOn w:val="TableNormal"/>
    <w:uiPriority w:val="40"/>
    <w:rsid w:val="00F3257B"/>
    <w:rPr>
      <w:rFonts w:eastAsia="DengXian"/>
      <w:lang w:val="sv-SE" w:eastAsia="sv-S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261812">
      <w:bodyDiv w:val="1"/>
      <w:marLeft w:val="0"/>
      <w:marRight w:val="0"/>
      <w:marTop w:val="0"/>
      <w:marBottom w:val="0"/>
      <w:divBdr>
        <w:top w:val="none" w:sz="0" w:space="0" w:color="auto"/>
        <w:left w:val="none" w:sz="0" w:space="0" w:color="auto"/>
        <w:bottom w:val="none" w:sz="0" w:space="0" w:color="auto"/>
        <w:right w:val="none" w:sz="0" w:space="0" w:color="auto"/>
      </w:divBdr>
    </w:div>
    <w:div w:id="64424004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44120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tp://ftp.3gpp.org/tsg_ran/WG2_RL2/TSGR2_97/Repor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5NUHHDQN7SK2-1-114339</_dlc_DocId>
    <_dlc_DocIdUrl xmlns="08b2df90-05d3-4030-90d4-c9feeb4a1cd9">
      <Url>https://ericoll.internal.ericsson.com/sites/STAR/_layouts/DocIdRedir.aspx?ID=5NUHHDQN7SK2-1-114339</Url>
      <Description>5NUHHDQN7SK2-1-114339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7.xml><?xml version="1.0" encoding="utf-8"?>
<ds:datastoreItem xmlns:ds="http://schemas.openxmlformats.org/officeDocument/2006/customXml" ds:itemID="{F4D897F2-8896-485D-9429-CD4E3D16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TotalTime>
  <Pages>4</Pages>
  <Words>1242</Words>
  <Characters>7085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cp:lastModifiedBy>
  <cp:revision>4</cp:revision>
  <cp:lastPrinted>2008-01-31T16:09:00Z</cp:lastPrinted>
  <dcterms:created xsi:type="dcterms:W3CDTF">2017-03-24T23:37:00Z</dcterms:created>
  <dcterms:modified xsi:type="dcterms:W3CDTF">2017-03-24T23:38:00Z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6949a300-26b1-45c6-a018-0c983a7d0fea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